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3F3A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91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31CCBE08">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5218"/>
      <w:r>
        <w:rPr>
          <w:rFonts w:hint="eastAsia"/>
          <w:lang w:val="en-US" w:eastAsia="zh-CN"/>
        </w:rPr>
        <w:t>服务知识应用情况说明</w:t>
      </w:r>
      <w:bookmarkEnd w:id="1"/>
    </w:p>
    <w:p w14:paraId="0FA4904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6367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47504B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经营拓展部</w:t>
            </w:r>
          </w:p>
        </w:tc>
        <w:tc>
          <w:tcPr>
            <w:tcW w:w="2708" w:type="dxa"/>
          </w:tcPr>
          <w:p w14:paraId="3B9F706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3A60C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115CD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DEE933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271DC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29ED5F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768FE4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bl>
    <w:p w14:paraId="29AD0A8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357FCBF">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9516C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34433D15">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30B35558">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8289667">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30284E8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18D59247">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EA02304">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BE1BA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F65508D">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06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2BDB32A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3F496F3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49A7FA8">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陶海波</w:t>
            </w:r>
          </w:p>
        </w:tc>
        <w:tc>
          <w:tcPr>
            <w:tcW w:w="1606" w:type="dxa"/>
          </w:tcPr>
          <w:p w14:paraId="0089B89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hint="eastAsia" w:asciiTheme="minorAscii" w:hAnsiTheme="minorAscii" w:eastAsiaTheme="minorEastAsia"/>
                <w:spacing w:val="0"/>
                <w:kern w:val="0"/>
                <w:sz w:val="21"/>
                <w:vertAlign w:val="baseline"/>
                <w:lang w:val="en-US" w:eastAsia="zh-CN"/>
              </w:rPr>
            </w:pPr>
            <w:r>
              <w:rPr>
                <w:rFonts w:hint="eastAsia" w:asciiTheme="minorAscii" w:hAnsiTheme="minorAscii" w:eastAsiaTheme="minorEastAsia"/>
                <w:spacing w:val="0"/>
                <w:kern w:val="0"/>
                <w:sz w:val="21"/>
                <w:vertAlign w:val="baseline"/>
                <w:lang w:val="en-US" w:eastAsia="zh-CN"/>
              </w:rPr>
              <w:t>邹雪</w:t>
            </w:r>
          </w:p>
        </w:tc>
        <w:tc>
          <w:tcPr>
            <w:tcW w:w="915" w:type="dxa"/>
          </w:tcPr>
          <w:p w14:paraId="19115CF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247702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4F2043D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1A776FF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03453148">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hint="eastAsia"/>
                <w:lang w:val="en-US" w:eastAsia="zh-CN"/>
              </w:rPr>
            </w:pPr>
          </w:p>
        </w:tc>
        <w:tc>
          <w:tcPr>
            <w:tcW w:w="1829" w:type="dxa"/>
            <w:shd w:val="clear" w:color="auto" w:fill="auto"/>
          </w:tcPr>
          <w:p w14:paraId="394B4B6D">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496B9DD5">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hint="eastAsia" w:asciiTheme="minorAscii" w:hAnsiTheme="minorAscii" w:eastAsiaTheme="minorEastAsia"/>
                <w:spacing w:val="0"/>
                <w:kern w:val="0"/>
                <w:sz w:val="21"/>
                <w:vertAlign w:val="baseline"/>
                <w:lang w:val="en-US" w:eastAsia="en-US"/>
              </w:rPr>
            </w:pPr>
          </w:p>
        </w:tc>
        <w:tc>
          <w:tcPr>
            <w:tcW w:w="915" w:type="dxa"/>
            <w:shd w:val="clear" w:color="auto" w:fill="auto"/>
          </w:tcPr>
          <w:p w14:paraId="0A459EF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357DA1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0BA8BB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031A63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496183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74F490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4B922B2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77A5ED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831A3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BD2AB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2E4EE1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E980A6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D397D3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3C49AA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03620D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63CCB04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03FA3D0">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EDEA85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_Toc12916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_Toc12916 \h </w:instrText>
          </w:r>
          <w:r>
            <w:fldChar w:fldCharType="separate"/>
          </w:r>
          <w:r>
            <w:t>1</w:t>
          </w:r>
          <w:r>
            <w:fldChar w:fldCharType="end"/>
          </w:r>
          <w:r>
            <w:rPr>
              <w:rFonts w:hint="eastAsia" w:ascii="宋体" w:hAnsi="宋体" w:eastAsia="宋体" w:cs="宋体"/>
              <w:szCs w:val="24"/>
            </w:rPr>
            <w:fldChar w:fldCharType="end"/>
          </w:r>
        </w:p>
        <w:p w14:paraId="735C1A3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_Toc25218 </w:instrText>
          </w:r>
          <w:r>
            <w:rPr>
              <w:rFonts w:hint="eastAsia" w:ascii="宋体" w:hAnsi="宋体" w:eastAsia="宋体" w:cs="宋体"/>
              <w:szCs w:val="24"/>
            </w:rPr>
            <w:fldChar w:fldCharType="separate"/>
          </w:r>
          <w:r>
            <w:rPr>
              <w:rFonts w:hint="eastAsia"/>
              <w:lang w:val="en-US" w:eastAsia="zh-CN"/>
            </w:rPr>
            <w:t>服务知识应用情况说明</w:t>
          </w:r>
          <w:r>
            <w:tab/>
          </w:r>
          <w:r>
            <w:fldChar w:fldCharType="begin"/>
          </w:r>
          <w:r>
            <w:instrText xml:space="preserve"> PAGEREF _Toc25218 \h </w:instrText>
          </w:r>
          <w:r>
            <w:fldChar w:fldCharType="separate"/>
          </w:r>
          <w:r>
            <w:t>1</w:t>
          </w:r>
          <w:r>
            <w:fldChar w:fldCharType="end"/>
          </w:r>
          <w:r>
            <w:rPr>
              <w:rFonts w:hint="eastAsia" w:ascii="宋体" w:hAnsi="宋体" w:eastAsia="宋体" w:cs="宋体"/>
              <w:szCs w:val="24"/>
            </w:rPr>
            <w:fldChar w:fldCharType="end"/>
          </w:r>
        </w:p>
        <w:p w14:paraId="7BE3CFC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_Toc17124 </w:instrText>
          </w:r>
          <w:r>
            <w:rPr>
              <w:rFonts w:hint="eastAsia" w:ascii="宋体" w:hAnsi="宋体" w:eastAsia="宋体" w:cs="宋体"/>
              <w:szCs w:val="24"/>
            </w:rPr>
            <w:fldChar w:fldCharType="separate"/>
          </w:r>
          <w:r>
            <w:rPr>
              <w:rFonts w:hint="default"/>
              <w:lang w:val="en-US" w:eastAsia="zh-CN"/>
            </w:rPr>
            <w:t>1. 知识管理体系建立与职责落实情况</w:t>
          </w:r>
          <w:r>
            <w:tab/>
          </w:r>
          <w:r>
            <w:fldChar w:fldCharType="begin"/>
          </w:r>
          <w:r>
            <w:instrText xml:space="preserve"> PAGEREF _Toc17124 \h </w:instrText>
          </w:r>
          <w:r>
            <w:fldChar w:fldCharType="separate"/>
          </w:r>
          <w:r>
            <w:t>4</w:t>
          </w:r>
          <w:r>
            <w:fldChar w:fldCharType="end"/>
          </w:r>
          <w:r>
            <w:rPr>
              <w:rFonts w:hint="eastAsia" w:ascii="宋体" w:hAnsi="宋体" w:eastAsia="宋体" w:cs="宋体"/>
              <w:szCs w:val="24"/>
            </w:rPr>
            <w:fldChar w:fldCharType="end"/>
          </w:r>
        </w:p>
        <w:p w14:paraId="5775D2B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_Toc22093 </w:instrText>
          </w:r>
          <w:r>
            <w:rPr>
              <w:rFonts w:hint="eastAsia" w:ascii="宋体" w:hAnsi="宋体" w:eastAsia="宋体" w:cs="宋体"/>
              <w:szCs w:val="24"/>
            </w:rPr>
            <w:fldChar w:fldCharType="separate"/>
          </w:r>
          <w:r>
            <w:rPr>
              <w:rFonts w:hint="default"/>
              <w:lang w:val="en-US" w:eastAsia="zh-CN"/>
            </w:rPr>
            <w:t>1.1. 制度与规范落地</w:t>
          </w:r>
          <w:r>
            <w:tab/>
          </w:r>
          <w:r>
            <w:fldChar w:fldCharType="begin"/>
          </w:r>
          <w:r>
            <w:instrText xml:space="preserve"> PAGEREF _Toc22093 \h </w:instrText>
          </w:r>
          <w:r>
            <w:fldChar w:fldCharType="separate"/>
          </w:r>
          <w:r>
            <w:t>4</w:t>
          </w:r>
          <w:r>
            <w:fldChar w:fldCharType="end"/>
          </w:r>
          <w:r>
            <w:rPr>
              <w:rFonts w:hint="eastAsia" w:ascii="宋体" w:hAnsi="宋体" w:eastAsia="宋体" w:cs="宋体"/>
              <w:szCs w:val="24"/>
            </w:rPr>
            <w:fldChar w:fldCharType="end"/>
          </w:r>
        </w:p>
        <w:p w14:paraId="75A516F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_Toc11227 </w:instrText>
          </w:r>
          <w:r>
            <w:rPr>
              <w:rFonts w:hint="eastAsia" w:ascii="宋体" w:hAnsi="宋体" w:eastAsia="宋体" w:cs="宋体"/>
              <w:szCs w:val="24"/>
            </w:rPr>
            <w:fldChar w:fldCharType="separate"/>
          </w:r>
          <w:r>
            <w:rPr>
              <w:rFonts w:hint="default"/>
              <w:lang w:val="en-US" w:eastAsia="zh-CN"/>
            </w:rPr>
            <w:t>1.2. 管理职责明确</w:t>
          </w:r>
          <w:r>
            <w:tab/>
          </w:r>
          <w:r>
            <w:fldChar w:fldCharType="begin"/>
          </w:r>
          <w:r>
            <w:instrText xml:space="preserve"> PAGEREF _Toc11227 \h </w:instrText>
          </w:r>
          <w:r>
            <w:fldChar w:fldCharType="separate"/>
          </w:r>
          <w:r>
            <w:t>4</w:t>
          </w:r>
          <w:r>
            <w:fldChar w:fldCharType="end"/>
          </w:r>
          <w:r>
            <w:rPr>
              <w:rFonts w:hint="eastAsia" w:ascii="宋体" w:hAnsi="宋体" w:eastAsia="宋体" w:cs="宋体"/>
              <w:szCs w:val="24"/>
            </w:rPr>
            <w:fldChar w:fldCharType="end"/>
          </w:r>
        </w:p>
        <w:p w14:paraId="7522334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_Toc13185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服务知识</w:t>
          </w:r>
          <w:r>
            <w:rPr>
              <w:rFonts w:hint="default"/>
              <w:lang w:val="en-US" w:eastAsia="zh-CN"/>
            </w:rPr>
            <w:t>建设与内容运营情况</w:t>
          </w:r>
          <w:r>
            <w:tab/>
          </w:r>
          <w:r>
            <w:fldChar w:fldCharType="begin"/>
          </w:r>
          <w:r>
            <w:instrText xml:space="preserve"> PAGEREF _Toc13185 \h </w:instrText>
          </w:r>
          <w:r>
            <w:fldChar w:fldCharType="separate"/>
          </w:r>
          <w:r>
            <w:t>4</w:t>
          </w:r>
          <w:r>
            <w:fldChar w:fldCharType="end"/>
          </w:r>
          <w:r>
            <w:rPr>
              <w:rFonts w:hint="eastAsia" w:ascii="宋体" w:hAnsi="宋体" w:eastAsia="宋体" w:cs="宋体"/>
              <w:szCs w:val="24"/>
            </w:rPr>
            <w:fldChar w:fldCharType="end"/>
          </w:r>
        </w:p>
        <w:p w14:paraId="62ABB41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_Toc7307 </w:instrText>
          </w:r>
          <w:r>
            <w:rPr>
              <w:rFonts w:hint="eastAsia" w:ascii="宋体" w:hAnsi="宋体" w:eastAsia="宋体" w:cs="宋体"/>
              <w:szCs w:val="24"/>
            </w:rPr>
            <w:fldChar w:fldCharType="separate"/>
          </w:r>
          <w:r>
            <w:rPr>
              <w:rFonts w:hint="default"/>
              <w:lang w:val="en-US" w:eastAsia="zh-CN"/>
            </w:rPr>
            <w:t>2.1. 系统平台搭建</w:t>
          </w:r>
          <w:r>
            <w:tab/>
          </w:r>
          <w:r>
            <w:fldChar w:fldCharType="begin"/>
          </w:r>
          <w:r>
            <w:instrText xml:space="preserve"> PAGEREF _Toc7307 \h </w:instrText>
          </w:r>
          <w:r>
            <w:fldChar w:fldCharType="separate"/>
          </w:r>
          <w:r>
            <w:t>4</w:t>
          </w:r>
          <w:r>
            <w:fldChar w:fldCharType="end"/>
          </w:r>
          <w:r>
            <w:rPr>
              <w:rFonts w:hint="eastAsia" w:ascii="宋体" w:hAnsi="宋体" w:eastAsia="宋体" w:cs="宋体"/>
              <w:szCs w:val="24"/>
            </w:rPr>
            <w:fldChar w:fldCharType="end"/>
          </w:r>
        </w:p>
        <w:p w14:paraId="00F8316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_Toc22186 </w:instrText>
          </w:r>
          <w:r>
            <w:rPr>
              <w:rFonts w:hint="eastAsia" w:ascii="宋体" w:hAnsi="宋体" w:eastAsia="宋体" w:cs="宋体"/>
              <w:szCs w:val="24"/>
            </w:rPr>
            <w:fldChar w:fldCharType="separate"/>
          </w:r>
          <w:r>
            <w:rPr>
              <w:rFonts w:hint="default"/>
              <w:lang w:val="en-US" w:eastAsia="zh-CN"/>
            </w:rPr>
            <w:t>2.2. 知识内容积累</w:t>
          </w:r>
          <w:r>
            <w:tab/>
          </w:r>
          <w:r>
            <w:fldChar w:fldCharType="begin"/>
          </w:r>
          <w:r>
            <w:instrText xml:space="preserve"> PAGEREF _Toc22186 \h </w:instrText>
          </w:r>
          <w:r>
            <w:fldChar w:fldCharType="separate"/>
          </w:r>
          <w:r>
            <w:t>4</w:t>
          </w:r>
          <w:r>
            <w:fldChar w:fldCharType="end"/>
          </w:r>
          <w:r>
            <w:rPr>
              <w:rFonts w:hint="eastAsia" w:ascii="宋体" w:hAnsi="宋体" w:eastAsia="宋体" w:cs="宋体"/>
              <w:szCs w:val="24"/>
            </w:rPr>
            <w:fldChar w:fldCharType="end"/>
          </w:r>
        </w:p>
        <w:p w14:paraId="3D2C0B5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_Toc10501 </w:instrText>
          </w:r>
          <w:r>
            <w:rPr>
              <w:rFonts w:hint="eastAsia" w:ascii="宋体" w:hAnsi="宋体" w:eastAsia="宋体" w:cs="宋体"/>
              <w:szCs w:val="24"/>
            </w:rPr>
            <w:fldChar w:fldCharType="separate"/>
          </w:r>
          <w:r>
            <w:rPr>
              <w:rFonts w:hint="default"/>
              <w:lang w:val="en-US" w:eastAsia="zh-CN"/>
            </w:rPr>
            <w:t>2.3. 流程执行情况</w:t>
          </w:r>
          <w:r>
            <w:tab/>
          </w:r>
          <w:r>
            <w:fldChar w:fldCharType="begin"/>
          </w:r>
          <w:r>
            <w:instrText xml:space="preserve"> PAGEREF _Toc10501 \h </w:instrText>
          </w:r>
          <w:r>
            <w:fldChar w:fldCharType="separate"/>
          </w:r>
          <w:r>
            <w:t>5</w:t>
          </w:r>
          <w:r>
            <w:fldChar w:fldCharType="end"/>
          </w:r>
          <w:r>
            <w:rPr>
              <w:rFonts w:hint="eastAsia" w:ascii="宋体" w:hAnsi="宋体" w:eastAsia="宋体" w:cs="宋体"/>
              <w:szCs w:val="24"/>
            </w:rPr>
            <w:fldChar w:fldCharType="end"/>
          </w:r>
        </w:p>
        <w:p w14:paraId="2AEE3D9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_Toc20093 </w:instrText>
          </w:r>
          <w:r>
            <w:rPr>
              <w:rFonts w:hint="eastAsia" w:ascii="宋体" w:hAnsi="宋体" w:eastAsia="宋体" w:cs="宋体"/>
              <w:szCs w:val="24"/>
            </w:rPr>
            <w:fldChar w:fldCharType="separate"/>
          </w:r>
          <w:r>
            <w:rPr>
              <w:rFonts w:hint="default"/>
              <w:lang w:val="en-US" w:eastAsia="zh-CN"/>
            </w:rPr>
            <w:t>3. 核心考核指标达成情况</w:t>
          </w:r>
          <w:r>
            <w:tab/>
          </w:r>
          <w:r>
            <w:fldChar w:fldCharType="begin"/>
          </w:r>
          <w:r>
            <w:instrText xml:space="preserve"> PAGEREF _Toc20093 \h </w:instrText>
          </w:r>
          <w:r>
            <w:fldChar w:fldCharType="separate"/>
          </w:r>
          <w:r>
            <w:t>5</w:t>
          </w:r>
          <w:r>
            <w:fldChar w:fldCharType="end"/>
          </w:r>
          <w:r>
            <w:rPr>
              <w:rFonts w:hint="eastAsia" w:ascii="宋体" w:hAnsi="宋体" w:eastAsia="宋体" w:cs="宋体"/>
              <w:szCs w:val="24"/>
            </w:rPr>
            <w:fldChar w:fldCharType="end"/>
          </w:r>
        </w:p>
        <w:p w14:paraId="0DEDE4D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_Toc27756 </w:instrText>
          </w:r>
          <w:r>
            <w:rPr>
              <w:rFonts w:hint="eastAsia" w:ascii="宋体" w:hAnsi="宋体" w:eastAsia="宋体" w:cs="宋体"/>
              <w:szCs w:val="24"/>
            </w:rPr>
            <w:fldChar w:fldCharType="separate"/>
          </w:r>
          <w:r>
            <w:rPr>
              <w:rFonts w:hint="default"/>
              <w:lang w:val="en-US" w:eastAsia="zh-CN"/>
            </w:rPr>
            <w:t>4. 取得的成效与价值</w:t>
          </w:r>
          <w:r>
            <w:tab/>
          </w:r>
          <w:r>
            <w:fldChar w:fldCharType="begin"/>
          </w:r>
          <w:r>
            <w:instrText xml:space="preserve"> PAGEREF _Toc27756 \h </w:instrText>
          </w:r>
          <w:r>
            <w:fldChar w:fldCharType="separate"/>
          </w:r>
          <w:r>
            <w:t>6</w:t>
          </w:r>
          <w:r>
            <w:fldChar w:fldCharType="end"/>
          </w:r>
          <w:r>
            <w:rPr>
              <w:rFonts w:hint="eastAsia" w:ascii="宋体" w:hAnsi="宋体" w:eastAsia="宋体" w:cs="宋体"/>
              <w:szCs w:val="24"/>
            </w:rPr>
            <w:fldChar w:fldCharType="end"/>
          </w:r>
        </w:p>
        <w:p w14:paraId="53E14C8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_Toc31690 </w:instrText>
          </w:r>
          <w:r>
            <w:rPr>
              <w:rFonts w:hint="eastAsia" w:ascii="宋体" w:hAnsi="宋体" w:eastAsia="宋体" w:cs="宋体"/>
              <w:szCs w:val="24"/>
            </w:rPr>
            <w:fldChar w:fldCharType="separate"/>
          </w:r>
          <w:r>
            <w:rPr>
              <w:rFonts w:hint="default"/>
              <w:lang w:val="en-US" w:eastAsia="zh-CN"/>
            </w:rPr>
            <w:t>5. 持续改进方向</w:t>
          </w:r>
          <w:r>
            <w:tab/>
          </w:r>
          <w:r>
            <w:fldChar w:fldCharType="begin"/>
          </w:r>
          <w:r>
            <w:instrText xml:space="preserve"> PAGEREF _Toc31690 \h </w:instrText>
          </w:r>
          <w:r>
            <w:fldChar w:fldCharType="separate"/>
          </w:r>
          <w:r>
            <w:t>6</w:t>
          </w:r>
          <w:r>
            <w:fldChar w:fldCharType="end"/>
          </w:r>
          <w:r>
            <w:rPr>
              <w:rFonts w:hint="eastAsia" w:ascii="宋体" w:hAnsi="宋体" w:eastAsia="宋体" w:cs="宋体"/>
              <w:szCs w:val="24"/>
            </w:rPr>
            <w:fldChar w:fldCharType="end"/>
          </w:r>
        </w:p>
        <w:p w14:paraId="4964279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_Toc5537 </w:instrText>
          </w:r>
          <w:r>
            <w:rPr>
              <w:rFonts w:hint="eastAsia" w:ascii="宋体" w:hAnsi="宋体" w:eastAsia="宋体" w:cs="宋体"/>
              <w:szCs w:val="24"/>
            </w:rPr>
            <w:fldChar w:fldCharType="separate"/>
          </w:r>
          <w:r>
            <w:rPr>
              <w:rFonts w:hint="default"/>
              <w:lang w:val="en-US" w:eastAsia="zh-CN"/>
            </w:rPr>
            <w:t>6. 总结</w:t>
          </w:r>
          <w:r>
            <w:tab/>
          </w:r>
          <w:r>
            <w:fldChar w:fldCharType="begin"/>
          </w:r>
          <w:r>
            <w:instrText xml:space="preserve"> PAGEREF _Toc5537 \h </w:instrText>
          </w:r>
          <w:r>
            <w:fldChar w:fldCharType="separate"/>
          </w:r>
          <w:r>
            <w:t>7</w:t>
          </w:r>
          <w:r>
            <w:fldChar w:fldCharType="end"/>
          </w:r>
          <w:r>
            <w:rPr>
              <w:rFonts w:hint="eastAsia" w:ascii="宋体" w:hAnsi="宋体" w:eastAsia="宋体" w:cs="宋体"/>
              <w:szCs w:val="24"/>
            </w:rPr>
            <w:fldChar w:fldCharType="end"/>
          </w:r>
        </w:p>
        <w:p w14:paraId="7CF7B8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1FA59D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5AA8E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为全面落实《服务知识管理制度》，推动公司知识资产的系统性积累、高效共享与有效复用，自制度发布以来，知识管理工作已全面展开并逐步深化。现将截至2026年</w:t>
      </w:r>
      <w:r>
        <w:rPr>
          <w:rFonts w:hint="eastAsia"/>
          <w:lang w:val="en-US" w:eastAsia="zh-CN"/>
        </w:rPr>
        <w:t>6</w:t>
      </w:r>
      <w:r>
        <w:rPr>
          <w:rFonts w:hint="default"/>
          <w:lang w:val="en-US" w:eastAsia="zh-CN"/>
        </w:rPr>
        <w:t>月的应用情况</w:t>
      </w:r>
      <w:r>
        <w:rPr>
          <w:rFonts w:hint="eastAsia"/>
          <w:lang w:val="en-US" w:eastAsia="zh-CN"/>
        </w:rPr>
        <w:t>进行汇报。</w:t>
      </w:r>
    </w:p>
    <w:p w14:paraId="1384265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7124"/>
      <w:r>
        <w:rPr>
          <w:rFonts w:hint="default"/>
          <w:lang w:val="en-US" w:eastAsia="zh-CN"/>
        </w:rPr>
        <w:t>知识管理体系建立与职责落实情况</w:t>
      </w:r>
      <w:bookmarkEnd w:id="2"/>
    </w:p>
    <w:p w14:paraId="38F3910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2093"/>
      <w:r>
        <w:rPr>
          <w:rFonts w:hint="default"/>
          <w:lang w:val="en-US" w:eastAsia="zh-CN"/>
        </w:rPr>
        <w:t>制度与规范落地</w:t>
      </w:r>
      <w:bookmarkEnd w:id="3"/>
    </w:p>
    <w:p w14:paraId="6F3F5E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已依据制度要求，明确了知识从“识别、提交、审核、发布、更新到归档”的全生命周期管理流程，并制定了配套的《知识提交表》模板及审核操作细则。</w:t>
      </w:r>
    </w:p>
    <w:p w14:paraId="1DF69C4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1227"/>
      <w:r>
        <w:rPr>
          <w:rFonts w:hint="default"/>
          <w:lang w:val="en-US" w:eastAsia="zh-CN"/>
        </w:rPr>
        <w:t>管理职责明确</w:t>
      </w:r>
      <w:bookmarkEnd w:id="4"/>
    </w:p>
    <w:p w14:paraId="1B9774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服务知识专员岗位职责已落实到位，负责</w:t>
      </w:r>
      <w:r>
        <w:rPr>
          <w:rFonts w:hint="eastAsia"/>
          <w:lang w:val="en-US" w:eastAsia="zh-CN"/>
        </w:rPr>
        <w:t>服务知识</w:t>
      </w:r>
      <w:r>
        <w:rPr>
          <w:rFonts w:hint="default"/>
          <w:lang w:val="en-US" w:eastAsia="zh-CN"/>
        </w:rPr>
        <w:t>的日常维护、内容审核、权限管理及定期备份工作。</w:t>
      </w:r>
    </w:p>
    <w:p w14:paraId="6644F5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各部门负责人承担本部门知识提交的初审责任，推动经验转化。</w:t>
      </w:r>
    </w:p>
    <w:p w14:paraId="7E3F73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通过宣贯与培训，明确了全体运维人员作为“知识提交人”的角色与义务，倡导“人人贡献、人人分享”的文化。</w:t>
      </w:r>
    </w:p>
    <w:p w14:paraId="7A0AB74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3185"/>
      <w:r>
        <w:rPr>
          <w:rFonts w:hint="eastAsia"/>
          <w:lang w:val="en-US" w:eastAsia="zh-CN"/>
        </w:rPr>
        <w:t>服务知识</w:t>
      </w:r>
      <w:r>
        <w:rPr>
          <w:rFonts w:hint="default"/>
          <w:lang w:val="en-US" w:eastAsia="zh-CN"/>
        </w:rPr>
        <w:t>建设与内容运营情况</w:t>
      </w:r>
      <w:bookmarkEnd w:id="5"/>
    </w:p>
    <w:p w14:paraId="0444EDD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7307"/>
      <w:r>
        <w:rPr>
          <w:rFonts w:hint="default"/>
          <w:lang w:val="en-US" w:eastAsia="zh-CN"/>
        </w:rPr>
        <w:t>系统平台搭建</w:t>
      </w:r>
      <w:bookmarkEnd w:id="6"/>
    </w:p>
    <w:p w14:paraId="2C6B91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规范，建立了体系化的知识分类与归档机制。严格按照四大类（技术知识、运维文档、流程规范、培训资料）对知识内容进行系统化梳理与结构化存储，确保了知识体系的清晰性和完整性。通过实施统一的命名规范、关键词标签与多级目录管理，有效提升了知识的可检索性与复用效率，为知识的积累、共享与应用提供了坚实基础。</w:t>
      </w:r>
    </w:p>
    <w:p w14:paraId="6D7633E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2186"/>
      <w:r>
        <w:rPr>
          <w:rFonts w:hint="default"/>
          <w:lang w:val="en-US" w:eastAsia="zh-CN"/>
        </w:rPr>
        <w:t>知识内容积累</w:t>
      </w:r>
      <w:bookmarkEnd w:id="7"/>
    </w:p>
    <w:p w14:paraId="396B63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截至2026年</w:t>
      </w:r>
      <w:r>
        <w:rPr>
          <w:rFonts w:hint="eastAsia"/>
          <w:lang w:val="en-US" w:eastAsia="zh-CN"/>
        </w:rPr>
        <w:t>6</w:t>
      </w:r>
      <w:r>
        <w:rPr>
          <w:rFonts w:hint="default"/>
          <w:lang w:val="en-US" w:eastAsia="zh-CN"/>
        </w:rPr>
        <w:t>月，</w:t>
      </w:r>
      <w:r>
        <w:rPr>
          <w:rFonts w:hint="eastAsia"/>
          <w:lang w:val="en-US" w:eastAsia="zh-CN"/>
        </w:rPr>
        <w:t>服务知识</w:t>
      </w:r>
      <w:r>
        <w:rPr>
          <w:rFonts w:hint="default"/>
          <w:lang w:val="en-US" w:eastAsia="zh-CN"/>
        </w:rPr>
        <w:t>累计有效知识条目已达</w:t>
      </w:r>
      <w:r>
        <w:rPr>
          <w:rFonts w:hint="eastAsia"/>
          <w:lang w:val="en-US" w:eastAsia="zh-CN"/>
        </w:rPr>
        <w:t>27</w:t>
      </w:r>
      <w:r>
        <w:rPr>
          <w:rFonts w:hint="default"/>
          <w:lang w:val="en-US" w:eastAsia="zh-CN"/>
        </w:rPr>
        <w:t>条。其中：</w:t>
      </w:r>
    </w:p>
    <w:p w14:paraId="03DD57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技术知识类与运维文档类条目占比最高，主要包括常见故障处理方案、系统配置指南及典型案例复盘，直接支撑一线运维工作。</w:t>
      </w:r>
    </w:p>
    <w:p w14:paraId="1726EE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流程规范类与培训资料类条目系统收录了标准作业程序与内部培训材料，为服务标准化与人员培训提供了基础。</w:t>
      </w:r>
    </w:p>
    <w:p w14:paraId="7A47FA9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9865" cy="1822450"/>
            <wp:effectExtent l="0" t="0" r="698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865" cy="1822450"/>
                    </a:xfrm>
                    <a:prstGeom prst="rect">
                      <a:avLst/>
                    </a:prstGeom>
                    <a:noFill/>
                    <a:ln>
                      <a:noFill/>
                    </a:ln>
                  </pic:spPr>
                </pic:pic>
              </a:graphicData>
            </a:graphic>
          </wp:inline>
        </w:drawing>
      </w:r>
    </w:p>
    <w:p w14:paraId="7E2E868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64785" cy="1522095"/>
            <wp:effectExtent l="0" t="0" r="12065"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5264785" cy="1522095"/>
                    </a:xfrm>
                    <a:prstGeom prst="rect">
                      <a:avLst/>
                    </a:prstGeom>
                    <a:noFill/>
                    <a:ln>
                      <a:noFill/>
                    </a:ln>
                  </pic:spPr>
                </pic:pic>
              </a:graphicData>
            </a:graphic>
          </wp:inline>
        </w:drawing>
      </w:r>
      <w:bookmarkStart w:id="13" w:name="_GoBack"/>
      <w:bookmarkEnd w:id="13"/>
    </w:p>
    <w:p w14:paraId="75699E8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0501"/>
      <w:r>
        <w:rPr>
          <w:rFonts w:hint="default"/>
          <w:lang w:val="en-US" w:eastAsia="zh-CN"/>
        </w:rPr>
        <w:t>流程执行情况</w:t>
      </w:r>
      <w:bookmarkEnd w:id="8"/>
    </w:p>
    <w:p w14:paraId="13BDF3A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提交与审核：知识提交均通过《知识提交表》发起，遵循“提交人→部门负责人→服务知识专员”的三级审核流程，确保内容准确性与格式规范性。</w:t>
      </w:r>
    </w:p>
    <w:p w14:paraId="505E9A0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更新与维护：建立了知识内容定期复审机制，对因系统升级或流程变更而失效的知识，已发起修订或归档流程，确保知识时效性。</w:t>
      </w:r>
    </w:p>
    <w:p w14:paraId="2ED57E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权限与安全：实现了全员可查阅、按角色控制编辑权限的安全策略，涉密信息均已按规定进行权限管控。</w:t>
      </w:r>
    </w:p>
    <w:p w14:paraId="772C2A4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0093"/>
      <w:r>
        <w:rPr>
          <w:rFonts w:hint="default"/>
          <w:lang w:val="en-US" w:eastAsia="zh-CN"/>
        </w:rPr>
        <w:t>核心考核指标达成情况</w:t>
      </w:r>
      <w:bookmarkEnd w:id="9"/>
    </w:p>
    <w:p w14:paraId="691C6A9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default"/>
          <w:lang w:val="en-US" w:eastAsia="zh-CN"/>
        </w:rPr>
        <w:drawing>
          <wp:inline distT="0" distB="0" distL="114300" distR="114300">
            <wp:extent cx="4327525" cy="1487170"/>
            <wp:effectExtent l="4445" t="4445" r="11430" b="47625"/>
            <wp:docPr id="11" name="图表 1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D7689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制度设定的核心季度考核指标为“新增知识条目≥10条”。</w:t>
      </w:r>
    </w:p>
    <w:p w14:paraId="7DC64E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第一季度（2026年Q1）：新增知识条目15条。制度初期通过推广活动，积累了首批基础文档。</w:t>
      </w:r>
    </w:p>
    <w:p w14:paraId="5D3426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第二季度（2026年Q2）：新增知识条目12条。内容重点转向典型故障案例沉淀。</w:t>
      </w:r>
    </w:p>
    <w:p w14:paraId="447D99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截至2026年</w:t>
      </w:r>
      <w:r>
        <w:rPr>
          <w:rFonts w:hint="eastAsia"/>
          <w:lang w:val="en-US" w:eastAsia="zh-CN"/>
        </w:rPr>
        <w:t>6</w:t>
      </w:r>
      <w:r>
        <w:rPr>
          <w:rFonts w:hint="default"/>
          <w:lang w:val="en-US" w:eastAsia="zh-CN"/>
        </w:rPr>
        <w:t>月，累计新增知识条目已达</w:t>
      </w:r>
      <w:r>
        <w:rPr>
          <w:rFonts w:hint="eastAsia"/>
          <w:lang w:val="en-US" w:eastAsia="zh-CN"/>
        </w:rPr>
        <w:t>27</w:t>
      </w:r>
      <w:r>
        <w:rPr>
          <w:rFonts w:hint="default"/>
          <w:lang w:val="en-US" w:eastAsia="zh-CN"/>
        </w:rPr>
        <w:t>条，各季度均超额完成考核目标，知识积累呈现稳步增长态势。</w:t>
      </w:r>
    </w:p>
    <w:p w14:paraId="58EBCE4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7756"/>
      <w:r>
        <w:rPr>
          <w:rFonts w:hint="default"/>
          <w:lang w:val="en-US" w:eastAsia="zh-CN"/>
        </w:rPr>
        <w:t>取得的成效与价值</w:t>
      </w:r>
      <w:bookmarkEnd w:id="10"/>
    </w:p>
    <w:p w14:paraId="74F67A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提升运维效率：常见问题的解决方案可直接从</w:t>
      </w:r>
      <w:r>
        <w:rPr>
          <w:rFonts w:hint="eastAsia"/>
          <w:lang w:val="en-US" w:eastAsia="zh-CN"/>
        </w:rPr>
        <w:t>服务知识</w:t>
      </w:r>
      <w:r>
        <w:rPr>
          <w:rFonts w:hint="default"/>
          <w:lang w:val="en-US" w:eastAsia="zh-CN"/>
        </w:rPr>
        <w:t>获取，一线解决率预估提升约20%，平均事件处理时长有所下降。</w:t>
      </w:r>
    </w:p>
    <w:p w14:paraId="7FEE592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促进经验传承：通过将个人经验转化为组织资产，有效降低了因人员流动带来的知识流失风险，加速了新员工成长。</w:t>
      </w:r>
    </w:p>
    <w:p w14:paraId="1FA88F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强化问题预防：对过往故障案例的复盘与共享，有助于识别潜在风险，推动从“被动救火”到“主动预防”的转变。</w:t>
      </w:r>
    </w:p>
    <w:p w14:paraId="6BE585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支持决策与培训：结构化的知识为管理决策提供了数据支持，分类培训资料也成为内部培训体系的重要组成。</w:t>
      </w:r>
    </w:p>
    <w:p w14:paraId="5FB5615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1690"/>
      <w:r>
        <w:rPr>
          <w:rFonts w:hint="default"/>
          <w:lang w:val="en-US" w:eastAsia="zh-CN"/>
        </w:rPr>
        <w:t>持续改进方向</w:t>
      </w:r>
      <w:bookmarkEnd w:id="11"/>
    </w:p>
    <w:p w14:paraId="6F098D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深化内容质量：启动“精品知识”评选计划，激励提交高质量、高复用性的知识条目，并优化审核标准。</w:t>
      </w:r>
    </w:p>
    <w:p w14:paraId="405F28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提升使用体验：计划引入知识地图与智能搜索功能，提升知识检索的便捷性与准确性。</w:t>
      </w:r>
    </w:p>
    <w:p w14:paraId="329FC8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加强推广与激励：将持续开展知识管理优秀部门与个人评选，并将知识贡献纳入相关岗位的绩效考核范畴，形成长效激励机制。</w:t>
      </w:r>
    </w:p>
    <w:p w14:paraId="1E1F52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推动跨部门共享：探索与研发、客服等部门的知识联动机制，扩大知识管理的价值半径。</w:t>
      </w:r>
    </w:p>
    <w:p w14:paraId="0294F40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5537"/>
      <w:r>
        <w:rPr>
          <w:rFonts w:hint="default"/>
          <w:lang w:val="en-US" w:eastAsia="zh-CN"/>
        </w:rPr>
        <w:t>总结</w:t>
      </w:r>
      <w:bookmarkEnd w:id="12"/>
    </w:p>
    <w:p w14:paraId="26F85B3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服务知识管理制度》已得到有效执行，知识管理体系初步建成并运转良好，在知识积累、效率提升与文化培育方面取得了阶段性成果。未来，知识管理工作将朝着更高质量、更智能化和更深度融合的方向持续演进，为公司的数智化运营提供坚实的知识支撑。</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04A7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2A3663"/>
    <w:rsid w:val="10D43D2C"/>
    <w:rsid w:val="197C6DE2"/>
    <w:rsid w:val="270A1FD9"/>
    <w:rsid w:val="30694209"/>
    <w:rsid w:val="33FF7DD1"/>
    <w:rsid w:val="403B011F"/>
    <w:rsid w:val="410F6968"/>
    <w:rsid w:val="425A1A7E"/>
    <w:rsid w:val="55C41A96"/>
    <w:rsid w:val="65D45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hart" Target="charts/chart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知识新增数</c:v>
                </c:pt>
              </c:strCache>
            </c:strRef>
          </c:tx>
          <c:spPr>
            <a:ln w="28575" cap="flat" cmpd="sng" algn="ctr">
              <a:solidFill>
                <a:schemeClr val="accent1"/>
              </a:solidFill>
              <a:prstDash val="solid"/>
              <a:miter lim="800000"/>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extLst>
                <c:ext xmlns:c15="http://schemas.microsoft.com/office/drawing/2012/chart" uri="{02D57815-91ED-43cb-92C2-25804820EDAC}">
                  <c15:fullRef>
                    <c15:sqref>Sheet1!$A$2:$A$5</c15:sqref>
                  </c15:fullRef>
                </c:ext>
              </c:extLst>
              <c:f>Sheet1!$A$2:$A$3</c:f>
              <c:strCache>
                <c:ptCount val="2"/>
                <c:pt idx="0">
                  <c:v>一季度</c:v>
                </c:pt>
                <c:pt idx="1">
                  <c:v>二季度</c:v>
                </c:pt>
              </c:strCache>
            </c:strRef>
          </c:cat>
          <c:val>
            <c:numRef>
              <c:extLst>
                <c:ext xmlns:c15="http://schemas.microsoft.com/office/drawing/2012/chart" uri="{02D57815-91ED-43cb-92C2-25804820EDAC}">
                  <c15:fullRef>
                    <c15:sqref>Sheet1!$B$2:$B$5</c15:sqref>
                  </c15:fullRef>
                </c:ext>
              </c:extLst>
              <c:f>Sheet1!$B$2:$B$3</c:f>
              <c:numCache>
                <c:formatCode>General</c:formatCode>
                <c:ptCount val="2"/>
                <c:pt idx="0">
                  <c:v>15</c:v>
                </c:pt>
                <c:pt idx="1">
                  <c:v>12</c:v>
                </c:pt>
              </c:numCache>
            </c:numRef>
          </c:val>
          <c:smooth val="0"/>
        </c:ser>
        <c:dLbls>
          <c:showLegendKey val="0"/>
          <c:showVal val="1"/>
          <c:showCatName val="0"/>
          <c:showSerName val="0"/>
          <c:showPercent val="0"/>
          <c:showBubbleSize val="0"/>
        </c:dLbls>
        <c:dropLines>
          <c:spPr>
            <a:ln w="9525" cap="flat" cmpd="sng" algn="ctr">
              <a:solidFill>
                <a:schemeClr val="tx1">
                  <a:lumMod val="35000"/>
                  <a:lumOff val="65000"/>
                </a:schemeClr>
              </a:solidFill>
              <a:prstDash val="solid"/>
              <a:round/>
            </a:ln>
            <a:effectLst/>
          </c:spPr>
        </c:dropLines>
        <c:marker val="0"/>
        <c:smooth val="0"/>
        <c:axId val="927488720"/>
        <c:axId val="797261006"/>
      </c:lineChart>
      <c:catAx>
        <c:axId val="927488720"/>
        <c:scaling>
          <c:orientation val="minMax"/>
        </c:scaling>
        <c:delete val="0"/>
        <c:axPos val="b"/>
        <c:title>
          <c:tx>
            <c:rich>
              <a:bodyPr rot="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t>季度</a:t>
                </a:r>
              </a:p>
            </c:rich>
          </c:tx>
          <c:layout/>
          <c:overlay val="0"/>
          <c:spPr>
            <a:noFill/>
            <a:ln>
              <a:noFill/>
            </a:ln>
            <a:effectLst/>
          </c:spPr>
        </c:title>
        <c:numFmt formatCode="General" sourceLinked="1"/>
        <c:majorTickMark val="none"/>
        <c:minorTickMark val="none"/>
        <c:tickLblPos val="nextTo"/>
        <c:spPr>
          <a:noFill/>
          <a:ln w="6350" cap="flat" cmpd="sng" algn="ctr">
            <a:solidFill>
              <a:schemeClr val="tx1">
                <a:lumMod val="50000"/>
                <a:lumOff val="50000"/>
                <a:alpha val="25000"/>
              </a:schemeClr>
            </a:solidFill>
            <a:prstDash val="solid"/>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797261006"/>
        <c:crosses val="autoZero"/>
        <c:auto val="1"/>
        <c:lblAlgn val="ctr"/>
        <c:lblOffset val="100"/>
        <c:noMultiLvlLbl val="0"/>
      </c:catAx>
      <c:valAx>
        <c:axId val="797261006"/>
        <c:scaling>
          <c:orientation val="minMax"/>
          <c:min val="8"/>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rPr>
                    <a:latin typeface="宋体" panose="02010600030101010101" charset="-122"/>
                    <a:ea typeface="宋体" panose="02010600030101010101" charset="-122"/>
                    <a:cs typeface="宋体" panose="02010600030101010101" charset="-122"/>
                    <a:sym typeface="宋体" panose="02010600030101010101" charset="-122"/>
                  </a:rPr>
                  <a:t>新增知识条目（条）</a:t>
                </a:r>
                <a:endParaRPr>
                  <a:latin typeface="宋体" panose="02010600030101010101" charset="-122"/>
                  <a:ea typeface="宋体" panose="02010600030101010101" charset="-122"/>
                  <a:cs typeface="宋体" panose="02010600030101010101" charset="-122"/>
                  <a:sym typeface="宋体" panose="02010600030101010101" charset="-122"/>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927488720"/>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8c083112-9fcc-4850-b79d-4dc89778c573}"/>
      </c:ext>
    </c:extLst>
  </c:chart>
  <c:spPr>
    <a:solidFill>
      <a:schemeClr val="bg1"/>
    </a:solidFill>
    <a:ln w="6350" cap="flat" cmpd="sng" algn="ctr">
      <a:solidFill>
        <a:schemeClr val="tx1">
          <a:lumMod val="50000"/>
          <a:lumOff val="50000"/>
          <a:alpha val="25000"/>
        </a:schemeClr>
      </a:solidFill>
      <a:prstDash val="solid"/>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1693</Words>
  <Characters>1794</Characters>
  <Lines>0</Lines>
  <Paragraphs>0</Paragraphs>
  <TotalTime>0</TotalTime>
  <ScaleCrop>false</ScaleCrop>
  <LinksUpToDate>false</LinksUpToDate>
  <CharactersWithSpaces>1844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2026-08-09T14:36:42Z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