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A44A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25" w:name="_GoBack"/>
      <w:bookmarkStart w:id="0" w:name="_Toc2797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 w14:paraId="7039F1C3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5960"/>
      <w:r>
        <w:rPr>
          <w:rFonts w:hint="eastAsia"/>
          <w:lang w:val="en-US" w:eastAsia="zh-CN"/>
        </w:rPr>
        <w:t>备件库应用情况说明</w:t>
      </w:r>
      <w:bookmarkEnd w:id="1"/>
    </w:p>
    <w:p w14:paraId="4D2335C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DD25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684AA0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 w14:paraId="77E5B7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  <w:tr w14:paraId="476D2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CDBC4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299B15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  <w:tr w14:paraId="1502E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E4D2E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 w14:paraId="1A53DB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</w:tbl>
    <w:p w14:paraId="0224DD2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A1953E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27E9F1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7A9CF3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75DD41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302773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2B474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14198F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8BD7B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838AB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57183D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265AD2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6989EF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345927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陶海波</w:t>
            </w:r>
          </w:p>
        </w:tc>
        <w:tc>
          <w:tcPr>
            <w:tcW w:w="1606" w:type="dxa"/>
          </w:tcPr>
          <w:p w14:paraId="0F9E80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 w14:paraId="07D6B8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 w14:paraId="422857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777530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6EA87A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3D9F10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57C871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6E0F25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64E462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6C58B2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1D39C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E2190A9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A400B8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AB6170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E29F69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402CB0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03074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7E5745A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A3BEB0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6687ED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4E74D7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239118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22040A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33FFF9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29DE13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FDA752F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_Toc2797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F33016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备件库应用情况说明</w:t>
          </w:r>
          <w:r>
            <w:tab/>
          </w:r>
          <w:r>
            <w:fldChar w:fldCharType="begin"/>
          </w:r>
          <w:r>
            <w:instrText xml:space="preserve"> PAGEREF _Toc25960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3EBE11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_Toc20496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概述</w:t>
          </w:r>
          <w:r>
            <w:tab/>
          </w:r>
          <w:r>
            <w:fldChar w:fldCharType="begin"/>
          </w:r>
          <w:r>
            <w:instrText xml:space="preserve"> PAGEREF _Toc20496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C4BB7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_Toc31931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管理体系建设与职责落实情况</w:t>
          </w:r>
          <w:r>
            <w:tab/>
          </w:r>
          <w:r>
            <w:fldChar w:fldCharType="begin"/>
          </w:r>
          <w:r>
            <w:instrText xml:space="preserve"> PAGEREF _Toc31931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D884CF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_Toc24581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制度落地与规范明确</w:t>
          </w:r>
          <w:r>
            <w:tab/>
          </w:r>
          <w:r>
            <w:fldChar w:fldCharType="begin"/>
          </w:r>
          <w:r>
            <w:instrText xml:space="preserve"> PAGEREF _Toc24581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9F2F1C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_Toc11450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岗位职责明确</w:t>
          </w:r>
          <w:r>
            <w:tab/>
          </w:r>
          <w:r>
            <w:fldChar w:fldCharType="begin"/>
          </w:r>
          <w:r>
            <w:instrText xml:space="preserve"> PAGEREF _Toc11450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DC04B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备件库运行机制与实施情况</w:t>
          </w:r>
          <w:r>
            <w:tab/>
          </w:r>
          <w:r>
            <w:fldChar w:fldCharType="begin"/>
          </w:r>
          <w:r>
            <w:instrText xml:space="preserve"> PAGEREF _Toc2963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A7A884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_Toc26124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库体建设与分类存储</w:t>
          </w:r>
          <w:r>
            <w:tab/>
          </w:r>
          <w:r>
            <w:fldChar w:fldCharType="begin"/>
          </w:r>
          <w:r>
            <w:instrText xml:space="preserve"> PAGEREF _Toc26124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2912A4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_Toc24512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核心流程闭环执行</w:t>
          </w:r>
          <w:r>
            <w:tab/>
          </w:r>
          <w:r>
            <w:fldChar w:fldCharType="begin"/>
          </w:r>
          <w:r>
            <w:instrText xml:space="preserve"> PAGEREF _Toc24512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2D3CE2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3.2.1. </w:t>
          </w:r>
          <w:r>
            <w:rPr>
              <w:rFonts w:hint="eastAsia"/>
              <w:lang w:val="en-US" w:eastAsia="zh-CN"/>
            </w:rPr>
            <w:t>出</w:t>
          </w:r>
          <w:r>
            <w:t>入库管理</w:t>
          </w:r>
          <w:r>
            <w:tab/>
          </w:r>
          <w:r>
            <w:fldChar w:fldCharType="begin"/>
          </w:r>
          <w:r>
            <w:instrText xml:space="preserve"> PAGEREF _Toc19642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EFA6BA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3.2.2. </w:t>
          </w:r>
          <w:r>
            <w:rPr>
              <w:rFonts w:hint="eastAsia"/>
              <w:lang w:val="en-US" w:eastAsia="zh-CN"/>
            </w:rPr>
            <w:t>备件可用率</w:t>
          </w:r>
          <w:r>
            <w:t>管理</w:t>
          </w:r>
          <w:r>
            <w:tab/>
          </w:r>
          <w:r>
            <w:fldChar w:fldCharType="begin"/>
          </w:r>
          <w:r>
            <w:instrText xml:space="preserve"> PAGEREF _Toc22334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52F24C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_Toc25671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3.2.3. </w:t>
          </w:r>
          <w:r>
            <w:t>盘点管理</w:t>
          </w:r>
          <w:r>
            <w:tab/>
          </w:r>
          <w:r>
            <w:fldChar w:fldCharType="begin"/>
          </w:r>
          <w:r>
            <w:instrText xml:space="preserve"> PAGEREF _Toc25671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D89064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安全与质量控制</w:t>
          </w:r>
          <w:r>
            <w:tab/>
          </w:r>
          <w:r>
            <w:fldChar w:fldCharType="begin"/>
          </w:r>
          <w:r>
            <w:instrText xml:space="preserve"> PAGEREF _Toc5276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14E4B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考核指标达成情况</w:t>
          </w:r>
          <w:r>
            <w:tab/>
          </w:r>
          <w:r>
            <w:fldChar w:fldCharType="begin"/>
          </w:r>
          <w:r>
            <w:instrText xml:space="preserve"> PAGEREF _Toc9664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214820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_Toc21148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总结</w:t>
          </w:r>
          <w:r>
            <w:tab/>
          </w:r>
          <w:r>
            <w:fldChar w:fldCharType="begin"/>
          </w:r>
          <w:r>
            <w:instrText xml:space="preserve"> PAGEREF _Toc21148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A5A90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907375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6E3BF8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_Toc20496"/>
      <w:bookmarkStart w:id="3" w:name="heading_0"/>
      <w:r>
        <w:t>概述</w:t>
      </w:r>
      <w:bookmarkEnd w:id="2"/>
      <w:bookmarkEnd w:id="3"/>
    </w:p>
    <w:p w14:paraId="5DC0065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贯彻落实《备件库管理制度》，规范备件的入库、存储、出库及盘点管理，确保备件资源的可用性与准确性，保障运维服务响应效率，公司自制度发布以来，已系统推进备件库的建设与运营工作。现将截至2026年</w:t>
      </w:r>
      <w:r>
        <w:rPr>
          <w:rFonts w:hint="eastAsia"/>
          <w:lang w:val="en-US" w:eastAsia="zh-CN"/>
        </w:rPr>
        <w:t>6</w:t>
      </w:r>
      <w:r>
        <w:t>月的应用情况说明如下。</w:t>
      </w:r>
    </w:p>
    <w:p w14:paraId="6D86625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31931"/>
      <w:bookmarkStart w:id="5" w:name="heading_1"/>
      <w:r>
        <w:t>管理体系建设与职责落实情况</w:t>
      </w:r>
      <w:bookmarkEnd w:id="4"/>
      <w:bookmarkEnd w:id="5"/>
    </w:p>
    <w:p w14:paraId="20C5820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24581"/>
      <w:bookmarkStart w:id="7" w:name="heading_2"/>
      <w:r>
        <w:t>制度落地与规范明确</w:t>
      </w:r>
      <w:bookmarkEnd w:id="6"/>
      <w:bookmarkEnd w:id="7"/>
    </w:p>
    <w:p w14:paraId="286CACE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已依据制度要求，完成了备件库管理流程的规划设计，明确了备件从“采购入库→分类存储→领用出库→盘点核对→报废处理”的全生命周期管理流程，并制定了配套的《备件入库登记表》、《备件领用申请表》及操作细则。</w:t>
      </w:r>
    </w:p>
    <w:p w14:paraId="57A6C6F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_Toc11450"/>
      <w:bookmarkStart w:id="9" w:name="heading_3"/>
      <w:r>
        <w:t>岗位职责明确</w:t>
      </w:r>
      <w:bookmarkEnd w:id="8"/>
      <w:bookmarkEnd w:id="9"/>
    </w:p>
    <w:p w14:paraId="0B6449FD">
      <w:pPr>
        <w:pStyle w:val="3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经营拓展部：作为备件库归口管理部门，负责备件库的日常运营管理、库存监控及流程监督</w:t>
      </w:r>
    </w:p>
    <w:p w14:paraId="5AB2523B">
      <w:pPr>
        <w:pStyle w:val="3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eastAsia"/>
          <w:lang w:val="en-US" w:eastAsia="zh-CN"/>
        </w:rPr>
        <w:t>备件库</w:t>
      </w:r>
      <w:r>
        <w:t>专员：负责备件的入库验收、分类上架、出库发放、台账记录及定期盘点工作</w:t>
      </w:r>
    </w:p>
    <w:p w14:paraId="3C4F1428">
      <w:pPr>
        <w:pStyle w:val="3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运维工程师：负责备件的领用申请、使用反馈及故障备件退还</w:t>
      </w:r>
    </w:p>
    <w:p w14:paraId="7D49313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_Toc2963"/>
      <w:bookmarkStart w:id="11" w:name="heading_4"/>
      <w:r>
        <w:t>备件库运行机制与实施情况</w:t>
      </w:r>
      <w:bookmarkEnd w:id="10"/>
      <w:bookmarkEnd w:id="11"/>
    </w:p>
    <w:p w14:paraId="12F38DC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26124"/>
      <w:bookmarkStart w:id="13" w:name="heading_5"/>
      <w:r>
        <w:t>库体建设与分类存储</w:t>
      </w:r>
      <w:bookmarkEnd w:id="12"/>
      <w:bookmarkEnd w:id="13"/>
    </w:p>
    <w:p w14:paraId="3E748E6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已建立集中管理的备件库存储区域，按照备件类型进行分类存储：</w:t>
      </w:r>
    </w:p>
    <w:p w14:paraId="0C7348FF">
      <w:pPr>
        <w:pStyle w:val="3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核心设备备件：服务器、网络设备、存储设备等关键部件</w:t>
      </w:r>
    </w:p>
    <w:p w14:paraId="7202BEA2">
      <w:pPr>
        <w:pStyle w:val="3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通用备件：风扇、内存条、硬盘等常用部件</w:t>
      </w:r>
    </w:p>
    <w:p w14:paraId="3A30C5A9">
      <w:pPr>
        <w:pStyle w:val="3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线缆及辅材：网线、光纤、电源线、转接头等辅助材料</w:t>
      </w:r>
    </w:p>
    <w:p w14:paraId="6185320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存储区域实施标识化管理，货位清晰，便于快速查找与取用。</w:t>
      </w:r>
    </w:p>
    <w:p w14:paraId="10A3478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_Toc24512"/>
      <w:bookmarkStart w:id="15" w:name="heading_6"/>
      <w:r>
        <w:t>核心流程闭环执行</w:t>
      </w:r>
      <w:bookmarkEnd w:id="14"/>
      <w:bookmarkEnd w:id="15"/>
    </w:p>
    <w:p w14:paraId="6B5CC60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_Toc19642"/>
      <w:r>
        <w:rPr>
          <w:rFonts w:hint="eastAsia"/>
          <w:lang w:val="en-US" w:eastAsia="zh-CN"/>
        </w:rPr>
        <w:t>出</w:t>
      </w:r>
      <w:r>
        <w:t>入库管理</w:t>
      </w:r>
      <w:bookmarkEnd w:id="16"/>
    </w:p>
    <w:p w14:paraId="35CEAB8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所有备件入库均需经过验收确认，核对型号、数量、完好性等信息，完成登记后方可上架存储。2026年度</w:t>
      </w:r>
      <w:r>
        <w:rPr>
          <w:rFonts w:hint="eastAsia"/>
          <w:lang w:val="en-US" w:eastAsia="zh-CN"/>
        </w:rPr>
        <w:t>第一和二季度</w:t>
      </w:r>
      <w:r>
        <w:t>备件</w:t>
      </w:r>
      <w:r>
        <w:rPr>
          <w:rFonts w:hint="eastAsia"/>
          <w:lang w:val="en-US" w:eastAsia="zh-CN"/>
        </w:rPr>
        <w:t>出</w:t>
      </w:r>
      <w:r>
        <w:t>入库准确率100%。</w:t>
      </w:r>
    </w:p>
    <w:p w14:paraId="1392767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_Toc22334"/>
      <w:r>
        <w:rPr>
          <w:rFonts w:hint="eastAsia"/>
          <w:lang w:val="en-US" w:eastAsia="zh-CN"/>
        </w:rPr>
        <w:t>备件可用率</w:t>
      </w:r>
      <w:r>
        <w:t>管理</w:t>
      </w:r>
      <w:bookmarkEnd w:id="17"/>
    </w:p>
    <w:p w14:paraId="3697377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在备件可用性保障方面，备件可用率年度考核目标值为≥95%，2026年度</w:t>
      </w:r>
      <w:r>
        <w:rPr>
          <w:rFonts w:hint="eastAsia"/>
          <w:lang w:val="en-US" w:eastAsia="zh-CN"/>
        </w:rPr>
        <w:t>第一和二季度</w:t>
      </w:r>
      <w:r>
        <w:rPr>
          <w:rFonts w:hint="default"/>
          <w:lang w:val="en-US" w:eastAsia="zh-CN"/>
        </w:rPr>
        <w:t>实际完成值为100%，满足生产维护需求，未发生因备件不可用导致的服务中断事件，表明备件储备策略合理、库存维护到位。</w:t>
      </w:r>
    </w:p>
    <w:p w14:paraId="320DCEB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_Toc25671"/>
      <w:r>
        <w:t>盘点管理</w:t>
      </w:r>
      <w:bookmarkEnd w:id="18"/>
    </w:p>
    <w:p w14:paraId="5B03B01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建立月度抽盘与年度全盘相结合的盘点机制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按月进行盘点，保证了库存准确</w:t>
      </w:r>
      <w:r>
        <w:t>。</w:t>
      </w:r>
    </w:p>
    <w:p w14:paraId="0CE87D3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heading_7"/>
      <w:bookmarkStart w:id="20" w:name="_Toc5276"/>
      <w:r>
        <w:t>安全与质量控制</w:t>
      </w:r>
      <w:bookmarkEnd w:id="19"/>
      <w:bookmarkEnd w:id="20"/>
    </w:p>
    <w:p w14:paraId="78357EC1">
      <w:pPr>
        <w:pStyle w:val="4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环境保障：备件库配备温湿度监控设备，确保存储环境符合备件保管要求</w:t>
      </w:r>
    </w:p>
    <w:p w14:paraId="35C89E81">
      <w:pPr>
        <w:pStyle w:val="4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质量管控：对入库备件进行外观及功能抽检，对故障退还备件进行鉴定分类处理</w:t>
      </w:r>
    </w:p>
    <w:p w14:paraId="133F2123">
      <w:pPr>
        <w:pStyle w:val="4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安全管控：备件库实施门禁管理，非授权人员不得进入，出入库记录完整可追溯</w:t>
      </w:r>
    </w:p>
    <w:p w14:paraId="1DB0C9E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heading_8"/>
      <w:bookmarkStart w:id="22" w:name="_Toc9664"/>
      <w:r>
        <w:t>考核指标达成情况</w:t>
      </w:r>
      <w:bookmarkEnd w:id="21"/>
      <w:bookmarkEnd w:id="22"/>
    </w:p>
    <w:p w14:paraId="15D7115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制度设定的核心考核指标为“备件可用率”与“备件出入库准确率”。</w:t>
      </w:r>
    </w:p>
    <w:p w14:paraId="5FC00D0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备件可用率：年度考核，目标值为≥95%。</w:t>
      </w:r>
      <w:r>
        <w:rPr>
          <w:rFonts w:hint="eastAsia"/>
          <w:lang w:val="en-US" w:eastAsia="zh-CN"/>
        </w:rPr>
        <w:t>截止目前未出现备件不可用现象。</w:t>
      </w:r>
      <w:r>
        <w:rPr>
          <w:rFonts w:hint="eastAsia"/>
        </w:rPr>
        <w:t>满足生产维护需求，未发生因备件不可用导致的服务中断事件。</w:t>
      </w:r>
      <w:r>
        <w:rPr>
          <w:rFonts w:hint="eastAsia"/>
          <w:lang w:val="en-US" w:eastAsia="zh-CN"/>
        </w:rPr>
        <w:t>备件可用率将于12月进行统计。</w:t>
      </w:r>
    </w:p>
    <w:p w14:paraId="3B7B5B9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备件出入库准确率：季度考核，目标值为≥98%。2026年第一季度完成值为100%；第二季度完成值为100%。均达到或超过考核目标，入库验收、出库登记、台账更新等环节准确无误。</w:t>
      </w:r>
    </w:p>
    <w:p w14:paraId="1AA51AF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半</w:t>
      </w:r>
      <w:r>
        <w:rPr>
          <w:rFonts w:hint="eastAsia"/>
        </w:rPr>
        <w:t>年度达成情况：截至2026年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月，备件可用率与备件出入库准确率两项指标均达成年度目标，整体达成率100%。备件库管理流程运行规范，有效支撑了运维服务的高效开展。</w:t>
      </w:r>
    </w:p>
    <w:p w14:paraId="76897D0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heading_16"/>
      <w:bookmarkStart w:id="24" w:name="_Toc21148"/>
      <w:r>
        <w:t>总结</w:t>
      </w:r>
      <w:bookmarkEnd w:id="23"/>
      <w:bookmarkEnd w:id="24"/>
    </w:p>
    <w:p w14:paraId="7A6120D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目前，备件库管理制度已得到有效执行，入库、存储、出库、盘点等核心流程运行规范。备件可用率与出入库准确率持续向好，均达到或超过考核目标，有效支撑了运维服务的高效开展。后续将持续优化管理手段，进一步提升备件管理的精细化与智能化水平。</w:t>
      </w:r>
    </w:p>
    <w:p w14:paraId="3C8311F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bookmarkEnd w:id="25"/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D8228F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F2196E2"/>
    <w:multiLevelType w:val="singleLevel"/>
    <w:tmpl w:val="FF2196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FFC7B67"/>
    <w:multiLevelType w:val="singleLevel"/>
    <w:tmpl w:val="FFFC7B6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A125B4A"/>
    <w:multiLevelType w:val="singleLevel"/>
    <w:tmpl w:val="5A125B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6C47189"/>
    <w:rsid w:val="07D001B3"/>
    <w:rsid w:val="0E214EC1"/>
    <w:rsid w:val="138D4257"/>
    <w:rsid w:val="1D724583"/>
    <w:rsid w:val="2EEE2746"/>
    <w:rsid w:val="407F76A2"/>
    <w:rsid w:val="455A6FF1"/>
    <w:rsid w:val="48DA7B6B"/>
    <w:rsid w:val="4D13189E"/>
    <w:rsid w:val="4F5827B5"/>
    <w:rsid w:val="5CA96113"/>
    <w:rsid w:val="61E51541"/>
    <w:rsid w:val="63AF0227"/>
    <w:rsid w:val="65930D0A"/>
    <w:rsid w:val="6D765805"/>
    <w:rsid w:val="75DE33F1"/>
    <w:rsid w:val="77C3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1411</Words>
  <Characters>1544</Characters>
  <Lines>0</Lines>
  <Paragraphs>0</Paragraphs>
  <TotalTime>0</TotalTime>
  <ScaleCrop>false</ScaleCrop>
  <LinksUpToDate>false</LinksUpToDate>
  <CharactersWithSpaces>1572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2026-07-27T15:43:04Z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