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F62B7C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20200"/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9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中机创新科技发展（重庆）有限公司</w:t>
      </w:r>
      <w:bookmarkEnd w:id="0"/>
    </w:p>
    <w:p w14:paraId="42117D7D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141"/>
      <w:r>
        <w:rPr>
          <w:rFonts w:hint="eastAsia"/>
          <w:lang w:val="en-US" w:eastAsia="zh-CN"/>
        </w:rPr>
        <w:t>中机中联智慧工程管理平台运维项目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交付方案</w:t>
      </w:r>
      <w:bookmarkEnd w:id="1"/>
    </w:p>
    <w:p w14:paraId="74EA10C4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ZJCK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9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2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2ADF8D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13B5C05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经营拓展部</w:t>
            </w:r>
          </w:p>
        </w:tc>
        <w:tc>
          <w:tcPr>
            <w:tcW w:w="2708" w:type="dxa"/>
          </w:tcPr>
          <w:p w14:paraId="6371426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2026.01.10</w:t>
            </w:r>
          </w:p>
        </w:tc>
      </w:tr>
      <w:tr w14:paraId="591AA2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2F8077C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57DD4E9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2026.01.10</w:t>
            </w:r>
          </w:p>
        </w:tc>
      </w:tr>
      <w:tr w14:paraId="135B10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592806A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李凯</w:t>
            </w:r>
          </w:p>
        </w:tc>
        <w:tc>
          <w:tcPr>
            <w:tcW w:w="2708" w:type="dxa"/>
          </w:tcPr>
          <w:p w14:paraId="6BC49FD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2026.01.10</w:t>
            </w:r>
          </w:p>
        </w:tc>
      </w:tr>
    </w:tbl>
    <w:p w14:paraId="7DBEC2CF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7966032B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214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 w14:paraId="5EF5381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1317" w:type="dxa"/>
          </w:tcPr>
          <w:p w14:paraId="752627A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 w14:paraId="50A6E80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 w14:paraId="157E985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 w14:paraId="32BD389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 w14:paraId="135140E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 w14:paraId="4923419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68F434C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1317" w:type="dxa"/>
          </w:tcPr>
          <w:p w14:paraId="52FF76D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2026.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01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72" w:type="dxa"/>
          </w:tcPr>
          <w:p w14:paraId="6A1104A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</w:tcPr>
          <w:p w14:paraId="0B6685D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hAnsi="宋体" w:eastAsia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</w:tcPr>
          <w:p w14:paraId="7F14288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陶海波</w:t>
            </w:r>
          </w:p>
        </w:tc>
        <w:tc>
          <w:tcPr>
            <w:tcW w:w="1606" w:type="dxa"/>
          </w:tcPr>
          <w:p w14:paraId="4DB4D1F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邹雪</w:t>
            </w:r>
          </w:p>
        </w:tc>
        <w:tc>
          <w:tcPr>
            <w:tcW w:w="915" w:type="dxa"/>
          </w:tcPr>
          <w:p w14:paraId="1ED8537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李凯</w:t>
            </w:r>
          </w:p>
        </w:tc>
      </w:tr>
      <w:tr w14:paraId="45228E6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332EE57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0B1B19D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2601E04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06A416C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1175673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3258B25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317B2CF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2A9455C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4CC9AA3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52EA2CC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6319CFF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5ED37F9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759F041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19523A7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317" w:type="dxa"/>
          </w:tcPr>
          <w:p w14:paraId="1378759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2E1B71C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338CF5C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4773EC2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3DDF9E4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4A4EB8B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04D53C7B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4143D09D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5213AF1C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_Toc20200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中机创新科技发展（重庆）有限公司</w:t>
          </w:r>
          <w:r>
            <w:tab/>
          </w:r>
          <w:r>
            <w:fldChar w:fldCharType="begin"/>
          </w:r>
          <w:r>
            <w:instrText xml:space="preserve"> PAGEREF _Toc20200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0B12456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中机中联智慧工程管理平台运维项目</w:t>
          </w:r>
          <w:r>
            <w:rPr>
              <w:rFonts w:hint="eastAsia"/>
              <w:lang w:val="en-US" w:eastAsia="zh-CN"/>
            </w:rPr>
            <w:t xml:space="preserve"> </w:t>
          </w:r>
          <w:r>
            <w:rPr>
              <w:rFonts w:hint="eastAsia"/>
              <w:lang w:val="en-US" w:eastAsia="zh-CN"/>
            </w:rPr>
            <w:t>交付方案</w:t>
          </w:r>
          <w:r>
            <w:tab/>
          </w:r>
          <w:r>
            <w:fldChar w:fldCharType="begin"/>
          </w:r>
          <w:r>
            <w:instrText xml:space="preserve"> PAGEREF _Toc141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3E6DFDC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_Toc25238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 项目概述</w:t>
          </w:r>
          <w:r>
            <w:tab/>
          </w:r>
          <w:r>
            <w:fldChar w:fldCharType="begin"/>
          </w:r>
          <w:r>
            <w:instrText xml:space="preserve"> PAGEREF _Toc25238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58FFC25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_Toc3523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 运维对象与范围</w:t>
          </w:r>
          <w:r>
            <w:tab/>
          </w:r>
          <w:r>
            <w:fldChar w:fldCharType="begin"/>
          </w:r>
          <w:r>
            <w:instrText xml:space="preserve"> PAGEREF _Toc3523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5E257B7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_Toc13778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 服务团队组织架构</w:t>
          </w:r>
          <w:r>
            <w:tab/>
          </w:r>
          <w:r>
            <w:fldChar w:fldCharType="begin"/>
          </w:r>
          <w:r>
            <w:instrText xml:space="preserve"> PAGEREF _Toc13778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230EC5E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_Toc10387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3.1. 项目组织架构</w:t>
          </w:r>
          <w:r>
            <w:tab/>
          </w:r>
          <w:r>
            <w:fldChar w:fldCharType="begin"/>
          </w:r>
          <w:r>
            <w:instrText xml:space="preserve"> PAGEREF _Toc10387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80C9A52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_Toc6261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3.2. 应急响应联系人</w:t>
          </w:r>
          <w:r>
            <w:tab/>
          </w:r>
          <w:r>
            <w:fldChar w:fldCharType="begin"/>
          </w:r>
          <w:r>
            <w:instrText xml:space="preserve"> PAGEREF _Toc6261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855CB49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_Toc5513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 核心服务内容与实施计划</w:t>
          </w:r>
          <w:r>
            <w:tab/>
          </w:r>
          <w:r>
            <w:fldChar w:fldCharType="begin"/>
          </w:r>
          <w:r>
            <w:instrText xml:space="preserve"> PAGEREF _Toc5513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2BD9B3A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_Toc2193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 主动巡检与预防（常态防御）</w:t>
          </w:r>
          <w:r>
            <w:tab/>
          </w:r>
          <w:r>
            <w:fldChar w:fldCharType="begin"/>
          </w:r>
          <w:r>
            <w:instrText xml:space="preserve"> PAGEREF _Toc2193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CA848F1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_Toc16222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 应急抢修（时效红线）</w:t>
          </w:r>
          <w:r>
            <w:tab/>
          </w:r>
          <w:r>
            <w:fldChar w:fldCharType="begin"/>
          </w:r>
          <w:r>
            <w:instrText xml:space="preserve"> PAGEREF _Toc16222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D2FD347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_Toc16187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 资产与档案管理</w:t>
          </w:r>
          <w:r>
            <w:tab/>
          </w:r>
          <w:r>
            <w:fldChar w:fldCharType="begin"/>
          </w:r>
          <w:r>
            <w:instrText xml:space="preserve"> PAGEREF _Toc16187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A0CD95D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_Toc5898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 服务等级协议（SLA）与考核</w:t>
          </w:r>
          <w:r>
            <w:tab/>
          </w:r>
          <w:r>
            <w:fldChar w:fldCharType="begin"/>
          </w:r>
          <w:r>
            <w:instrText xml:space="preserve"> PAGEREF _Toc5898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E942AC3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_Toc31963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5.1. 系统可用率考核</w:t>
          </w:r>
          <w:r>
            <w:tab/>
          </w:r>
          <w:r>
            <w:fldChar w:fldCharType="begin"/>
          </w:r>
          <w:r>
            <w:instrText xml:space="preserve"> PAGEREF _Toc31963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5884164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_Toc26975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5.2. 响应及时性考核</w:t>
          </w:r>
          <w:r>
            <w:tab/>
          </w:r>
          <w:r>
            <w:fldChar w:fldCharType="begin"/>
          </w:r>
          <w:r>
            <w:instrText xml:space="preserve"> PAGEREF _Toc26975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9A751A7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_Toc22748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5.3. 质量考核</w:t>
          </w:r>
          <w:r>
            <w:tab/>
          </w:r>
          <w:r>
            <w:fldChar w:fldCharType="begin"/>
          </w:r>
          <w:r>
            <w:instrText xml:space="preserve"> PAGEREF _Toc22748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7C68E1D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_Toc32373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 备品备件管理</w:t>
          </w:r>
          <w:r>
            <w:tab/>
          </w:r>
          <w:r>
            <w:fldChar w:fldCharType="begin"/>
          </w:r>
          <w:r>
            <w:instrText xml:space="preserve"> PAGEREF _Toc32373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7646B33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_Toc14317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6.1. 备机机制</w:t>
          </w:r>
          <w:r>
            <w:tab/>
          </w:r>
          <w:r>
            <w:fldChar w:fldCharType="begin"/>
          </w:r>
          <w:r>
            <w:instrText xml:space="preserve"> PAGEREF _Toc14317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2CA76B3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_Toc14698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6.2. 费用分担</w:t>
          </w:r>
          <w:r>
            <w:tab/>
          </w:r>
          <w:r>
            <w:fldChar w:fldCharType="begin"/>
          </w:r>
          <w:r>
            <w:instrText xml:space="preserve"> PAGEREF _Toc14698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3D052CB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_Toc25907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7. 信息安全与保密管理</w:t>
          </w:r>
          <w:r>
            <w:tab/>
          </w:r>
          <w:r>
            <w:fldChar w:fldCharType="begin"/>
          </w:r>
          <w:r>
            <w:instrText xml:space="preserve"> PAGEREF _Toc25907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A266CED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_Toc25419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7.1. 保密要求</w:t>
          </w:r>
          <w:r>
            <w:tab/>
          </w:r>
          <w:r>
            <w:fldChar w:fldCharType="begin"/>
          </w:r>
          <w:r>
            <w:instrText xml:space="preserve"> PAGEREF _Toc25419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CE0CF32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_Toc28184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7.2. 人员管理</w:t>
          </w:r>
          <w:r>
            <w:tab/>
          </w:r>
          <w:r>
            <w:fldChar w:fldCharType="begin"/>
          </w:r>
          <w:r>
            <w:instrText xml:space="preserve"> PAGEREF _Toc28184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C3569B6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_Toc25122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8. 服务实施里程碑计划</w:t>
          </w:r>
          <w:r>
            <w:tab/>
          </w:r>
          <w:r>
            <w:fldChar w:fldCharType="begin"/>
          </w:r>
          <w:r>
            <w:instrText xml:space="preserve"> PAGEREF _Toc25122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60A93F6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_Toc7588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9. 质量保障与风险控制</w:t>
          </w:r>
          <w:r>
            <w:tab/>
          </w:r>
          <w:r>
            <w:fldChar w:fldCharType="begin"/>
          </w:r>
          <w:r>
            <w:instrText xml:space="preserve"> PAGEREF _Toc7588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194B4E7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_Toc25969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9.1. 质量保障措施</w:t>
          </w:r>
          <w:r>
            <w:tab/>
          </w:r>
          <w:r>
            <w:fldChar w:fldCharType="begin"/>
          </w:r>
          <w:r>
            <w:instrText xml:space="preserve"> PAGEREF _Toc25969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98A05F9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_Toc7037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9.2. 风险控制</w:t>
          </w:r>
          <w:r>
            <w:tab/>
          </w:r>
          <w:r>
            <w:fldChar w:fldCharType="begin"/>
          </w:r>
          <w:r>
            <w:instrText xml:space="preserve"> PAGEREF _Toc7037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146BC42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_Toc7089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10. 费用结算与支付</w:t>
          </w:r>
          <w:r>
            <w:tab/>
          </w:r>
          <w:r>
            <w:fldChar w:fldCharType="begin"/>
          </w:r>
          <w:r>
            <w:instrText xml:space="preserve"> PAGEREF _Toc7089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228B3BA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_Toc5120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10.1. 支付方式</w:t>
          </w:r>
          <w:r>
            <w:tab/>
          </w:r>
          <w:r>
            <w:fldChar w:fldCharType="begin"/>
          </w:r>
          <w:r>
            <w:instrText xml:space="preserve"> PAGEREF _Toc5120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A2E71A0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_Toc24708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10.2. 费用组成</w:t>
          </w:r>
          <w:r>
            <w:tab/>
          </w:r>
          <w:r>
            <w:fldChar w:fldCharType="begin"/>
          </w:r>
          <w:r>
            <w:instrText xml:space="preserve"> PAGEREF _Toc24708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5F9149A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_Toc14869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11. 本方案的管理</w:t>
          </w:r>
          <w:r>
            <w:tab/>
          </w:r>
          <w:r>
            <w:fldChar w:fldCharType="begin"/>
          </w:r>
          <w:r>
            <w:instrText xml:space="preserve"> PAGEREF _Toc14869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66DEC81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16EC70E9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09B2B37B">
      <w:pPr>
        <w:pStyle w:val="28"/>
        <w:bidi w:val="0"/>
        <w:rPr>
          <w:rFonts w:hint="default"/>
          <w:lang w:val="en-US" w:eastAsia="zh-CN"/>
        </w:rPr>
      </w:pPr>
      <w:bookmarkStart w:id="2" w:name="_Toc25238"/>
      <w:r>
        <w:rPr>
          <w:rFonts w:hint="default"/>
          <w:lang w:val="en-US" w:eastAsia="zh-CN"/>
        </w:rPr>
        <w:t>项目概述</w:t>
      </w:r>
      <w:bookmarkEnd w:id="2"/>
    </w:p>
    <w:p w14:paraId="765EAFDD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为确保智慧工程管理平台系统（含前端平台服务器、网络传输、后端存储及平台软件）长期稳定运行，保障智慧工程管理平台运维体系正常运作，依据《智慧工程管理平台项目专业运维服务合同》约定，特制定本</w:t>
      </w:r>
      <w:r>
        <w:rPr>
          <w:rFonts w:hint="eastAsia"/>
          <w:lang w:val="en-US" w:eastAsia="zh-CN"/>
        </w:rPr>
        <w:t>交付</w:t>
      </w:r>
      <w:r>
        <w:rPr>
          <w:rFonts w:hint="default"/>
          <w:lang w:val="en-US" w:eastAsia="zh-CN"/>
        </w:rPr>
        <w:t>方案。</w:t>
      </w:r>
    </w:p>
    <w:p w14:paraId="1DD35331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本项目服务周期为一年（2026年</w:t>
      </w:r>
      <w:r>
        <w:rPr>
          <w:rFonts w:hint="eastAsia"/>
          <w:lang w:val="en-US" w:eastAsia="zh-CN"/>
        </w:rPr>
        <w:t>1</w:t>
      </w:r>
      <w:r>
        <w:rPr>
          <w:rFonts w:hint="default"/>
          <w:lang w:val="en-US" w:eastAsia="zh-CN"/>
        </w:rPr>
        <w:t>月至2026年</w:t>
      </w:r>
      <w:r>
        <w:rPr>
          <w:rFonts w:hint="eastAsia"/>
          <w:lang w:val="en-US" w:eastAsia="zh-CN"/>
        </w:rPr>
        <w:t>12</w:t>
      </w:r>
      <w:r>
        <w:rPr>
          <w:rFonts w:hint="default"/>
          <w:lang w:val="en-US" w:eastAsia="zh-CN"/>
        </w:rPr>
        <w:t>月），</w:t>
      </w:r>
      <w:r>
        <w:rPr>
          <w:rFonts w:hint="eastAsia"/>
          <w:lang w:val="en-US" w:eastAsia="zh-CN"/>
        </w:rPr>
        <w:t>我司</w:t>
      </w:r>
      <w:r>
        <w:rPr>
          <w:rFonts w:hint="default"/>
          <w:lang w:val="en-US" w:eastAsia="zh-CN"/>
        </w:rPr>
        <w:t>将按照合同约定的SLA标准，提供7×24小时主动巡检、应急抢修、资产管理等专业化运维服务。</w:t>
      </w:r>
      <w:bookmarkStart w:id="29" w:name="_GoBack"/>
      <w:bookmarkEnd w:id="29"/>
    </w:p>
    <w:p w14:paraId="4861E42C">
      <w:pPr>
        <w:pStyle w:val="28"/>
        <w:bidi w:val="0"/>
        <w:rPr>
          <w:rFonts w:hint="default"/>
          <w:lang w:val="en-US" w:eastAsia="zh-CN"/>
        </w:rPr>
      </w:pPr>
      <w:bookmarkStart w:id="3" w:name="_Toc3523"/>
      <w:r>
        <w:rPr>
          <w:rFonts w:hint="default"/>
          <w:lang w:val="en-US" w:eastAsia="zh-CN"/>
        </w:rPr>
        <w:t>运维对象与范围</w:t>
      </w:r>
      <w:bookmarkEnd w:id="3"/>
    </w:p>
    <w:p w14:paraId="5C9549C8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运维范围涵盖中机中联智慧工程管理平台相关系统和服务，具体包括：</w:t>
      </w:r>
    </w:p>
    <w:tbl>
      <w:tblPr>
        <w:tblStyle w:val="20"/>
        <w:tblW w:w="849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22"/>
        <w:gridCol w:w="6973"/>
      </w:tblGrid>
      <w:tr w14:paraId="2C9A3A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3B9704D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类别</w:t>
            </w:r>
          </w:p>
        </w:tc>
        <w:tc>
          <w:tcPr>
            <w:tcW w:w="6973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E2D9E9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设备明细</w:t>
            </w:r>
          </w:p>
        </w:tc>
      </w:tr>
      <w:tr w14:paraId="484604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AFE77D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前端采集系统</w:t>
            </w:r>
          </w:p>
        </w:tc>
        <w:tc>
          <w:tcPr>
            <w:tcW w:w="697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5557F11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应用服务器、数据库服务器、网络设备、机柜、配套基础设施</w:t>
            </w:r>
          </w:p>
        </w:tc>
      </w:tr>
      <w:tr w14:paraId="3DEABB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35B1E22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网络传输系统</w:t>
            </w:r>
          </w:p>
        </w:tc>
        <w:tc>
          <w:tcPr>
            <w:tcW w:w="697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3025819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光纤收发器、ONU/交换机、网络链路（光缆/网线）、电源线</w:t>
            </w:r>
          </w:p>
        </w:tc>
      </w:tr>
      <w:tr w14:paraId="0F787F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522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6BB47D9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后端存储与控制</w:t>
            </w:r>
          </w:p>
        </w:tc>
        <w:tc>
          <w:tcPr>
            <w:tcW w:w="697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2D0DCB7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数据库服务器/数据库集群存储设备、平台数据综合平台、解码器、平台数据矩阵、核心/接入交换机</w:t>
            </w:r>
          </w:p>
        </w:tc>
      </w:tr>
    </w:tbl>
    <w:p w14:paraId="48253E8A">
      <w:pPr>
        <w:pStyle w:val="28"/>
        <w:bidi w:val="0"/>
        <w:rPr>
          <w:rFonts w:hint="default"/>
          <w:lang w:val="en-US" w:eastAsia="zh-CN"/>
        </w:rPr>
      </w:pPr>
      <w:bookmarkStart w:id="4" w:name="_Toc13778"/>
      <w:r>
        <w:rPr>
          <w:rFonts w:hint="default"/>
          <w:lang w:val="en-US" w:eastAsia="zh-CN"/>
        </w:rPr>
        <w:t>服务团队组织架构</w:t>
      </w:r>
      <w:bookmarkEnd w:id="4"/>
    </w:p>
    <w:p w14:paraId="56BC0FD4">
      <w:pPr>
        <w:pStyle w:val="30"/>
        <w:bidi w:val="0"/>
        <w:rPr>
          <w:rFonts w:hint="default"/>
          <w:lang w:val="en-US" w:eastAsia="zh-CN"/>
        </w:rPr>
      </w:pPr>
      <w:bookmarkStart w:id="5" w:name="_Toc10387"/>
      <w:r>
        <w:rPr>
          <w:rFonts w:hint="default"/>
          <w:lang w:val="en-US" w:eastAsia="zh-CN"/>
        </w:rPr>
        <w:t>项目组织架构</w:t>
      </w:r>
      <w:bookmarkEnd w:id="5"/>
    </w:p>
    <w:tbl>
      <w:tblPr>
        <w:tblStyle w:val="20"/>
        <w:tblW w:w="849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87"/>
        <w:gridCol w:w="1767"/>
        <w:gridCol w:w="4641"/>
      </w:tblGrid>
      <w:tr w14:paraId="11632B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751FDD8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角色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AC3CD4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人员</w:t>
            </w:r>
          </w:p>
        </w:tc>
        <w:tc>
          <w:tcPr>
            <w:tcW w:w="4641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F43570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职责</w:t>
            </w:r>
          </w:p>
        </w:tc>
      </w:tr>
      <w:tr w14:paraId="4F0750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3418124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项目负责人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6097BF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经营拓展部经理</w:t>
            </w:r>
          </w:p>
        </w:tc>
        <w:tc>
          <w:tcPr>
            <w:tcW w:w="464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231D689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项目整体协调、资源调配、质量监督、客户沟通</w:t>
            </w:r>
          </w:p>
        </w:tc>
      </w:tr>
      <w:tr w14:paraId="207B94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30669B2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运维工程师（现场）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787C4B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2名</w:t>
            </w:r>
          </w:p>
        </w:tc>
        <w:tc>
          <w:tcPr>
            <w:tcW w:w="464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16980DB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现场巡检、故障排查、设备更换、维修作业</w:t>
            </w:r>
          </w:p>
        </w:tc>
      </w:tr>
      <w:tr w14:paraId="5203B7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40374B0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服务台专员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2E6D9D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1名</w:t>
            </w:r>
          </w:p>
        </w:tc>
        <w:tc>
          <w:tcPr>
            <w:tcW w:w="464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308E13A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7×24小时故障受理、工单派发、进度跟踪、回访</w:t>
            </w:r>
          </w:p>
        </w:tc>
      </w:tr>
      <w:tr w14:paraId="0C0D4A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087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7C86EA2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技术支撑团队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020236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二线/三线人员</w:t>
            </w:r>
          </w:p>
        </w:tc>
        <w:tc>
          <w:tcPr>
            <w:tcW w:w="464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2137FCE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疑难故障技术支持、系统平台维护</w:t>
            </w:r>
          </w:p>
        </w:tc>
      </w:tr>
    </w:tbl>
    <w:p w14:paraId="33FC1ECA">
      <w:pPr>
        <w:pStyle w:val="30"/>
        <w:bidi w:val="0"/>
        <w:rPr>
          <w:rFonts w:hint="default"/>
          <w:lang w:val="en-US" w:eastAsia="zh-CN"/>
        </w:rPr>
      </w:pPr>
      <w:bookmarkStart w:id="6" w:name="_Toc6261"/>
      <w:r>
        <w:rPr>
          <w:rFonts w:hint="default"/>
          <w:lang w:val="en-US" w:eastAsia="zh-CN"/>
        </w:rPr>
        <w:t>应急响应联系人</w:t>
      </w:r>
      <w:bookmarkEnd w:id="6"/>
    </w:p>
    <w:p w14:paraId="7290E9AD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按照合同附件二要求，建立《7×24小时应急响应联系人与梯队名单》，明确一级、二级、三级故障对应的联系人及备选人员，并报甲方备案。</w:t>
      </w:r>
    </w:p>
    <w:p w14:paraId="38A012E8">
      <w:pPr>
        <w:pStyle w:val="28"/>
        <w:bidi w:val="0"/>
        <w:rPr>
          <w:rFonts w:hint="default"/>
          <w:lang w:val="en-US" w:eastAsia="zh-CN"/>
        </w:rPr>
      </w:pPr>
      <w:bookmarkStart w:id="7" w:name="_Toc5513"/>
      <w:r>
        <w:rPr>
          <w:rFonts w:hint="default"/>
          <w:lang w:val="en-US" w:eastAsia="zh-CN"/>
        </w:rPr>
        <w:t>核心服务内容与实施计划</w:t>
      </w:r>
      <w:bookmarkEnd w:id="7"/>
    </w:p>
    <w:p w14:paraId="459BAC12">
      <w:pPr>
        <w:pStyle w:val="30"/>
        <w:bidi w:val="0"/>
        <w:rPr>
          <w:rFonts w:hint="default"/>
          <w:lang w:val="en-US" w:eastAsia="zh-CN"/>
        </w:rPr>
      </w:pPr>
      <w:bookmarkStart w:id="8" w:name="_Toc2193"/>
      <w:r>
        <w:rPr>
          <w:rFonts w:hint="default"/>
          <w:lang w:val="en-US" w:eastAsia="zh-CN"/>
        </w:rPr>
        <w:t>主动巡检与预防（常态防御）</w:t>
      </w:r>
      <w:bookmarkEnd w:id="8"/>
    </w:p>
    <w:p w14:paraId="1F02EB65">
      <w:pPr>
        <w:pStyle w:val="29"/>
        <w:numPr>
          <w:ilvl w:val="0"/>
          <w:numId w:val="2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月度全覆盖巡检</w:t>
      </w:r>
    </w:p>
    <w:p w14:paraId="37C2425B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巡检频次：每月对不少于</w:t>
      </w:r>
      <w:r>
        <w:rPr>
          <w:rFonts w:hint="eastAsia"/>
          <w:lang w:val="en-US" w:eastAsia="zh-CN"/>
        </w:rPr>
        <w:t>2</w:t>
      </w:r>
      <w:r>
        <w:rPr>
          <w:rFonts w:hint="default"/>
          <w:lang w:val="en-US" w:eastAsia="zh-CN"/>
        </w:rPr>
        <w:t>5%的点位进行现场巡检，每季度完成一轮全覆盖</w:t>
      </w:r>
    </w:p>
    <w:p w14:paraId="6C96B00C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巡检内容：平台服务器角度、服务可用状态、服务器机柜锈蚀、机柜密封性、接地电阻等</w:t>
      </w:r>
    </w:p>
    <w:p w14:paraId="56D49C61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输出成果：每月提交《月度系统可用率及健康度报告》</w:t>
      </w:r>
    </w:p>
    <w:p w14:paraId="0E650FB3">
      <w:pPr>
        <w:pStyle w:val="29"/>
        <w:numPr>
          <w:ilvl w:val="0"/>
          <w:numId w:val="2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季度深度保养</w:t>
      </w:r>
    </w:p>
    <w:p w14:paraId="306917E0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保养频次：每季度一次</w:t>
      </w:r>
    </w:p>
    <w:p w14:paraId="312415A3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保养范围：重点区域（党政机关、学校、交通枢纽）平台服务器</w:t>
      </w:r>
    </w:p>
    <w:p w14:paraId="076FB70F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保养内容：系统日志检查、服务状态检测、磁盘清理、配置备份</w:t>
      </w:r>
    </w:p>
    <w:p w14:paraId="50F98106">
      <w:pPr>
        <w:pStyle w:val="30"/>
        <w:bidi w:val="0"/>
        <w:rPr>
          <w:rFonts w:hint="default"/>
          <w:lang w:val="en-US" w:eastAsia="zh-CN"/>
        </w:rPr>
      </w:pPr>
      <w:bookmarkStart w:id="9" w:name="_Toc16222"/>
      <w:r>
        <w:rPr>
          <w:rFonts w:hint="default"/>
          <w:lang w:val="en-US" w:eastAsia="zh-CN"/>
        </w:rPr>
        <w:t>应急抢修（时效红线）</w:t>
      </w:r>
      <w:bookmarkEnd w:id="9"/>
    </w:p>
    <w:p w14:paraId="4CAC8806">
      <w:pPr>
        <w:pStyle w:val="29"/>
        <w:numPr>
          <w:ilvl w:val="0"/>
          <w:numId w:val="3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服务时间</w:t>
      </w:r>
    </w:p>
    <w:p w14:paraId="7F6E40D4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提供7×24小时故障响应服务，全年无休。</w:t>
      </w:r>
    </w:p>
    <w:p w14:paraId="29E0A487">
      <w:pPr>
        <w:pStyle w:val="29"/>
        <w:numPr>
          <w:ilvl w:val="0"/>
          <w:numId w:val="3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故障分级与响应标准</w:t>
      </w:r>
    </w:p>
    <w:tbl>
      <w:tblPr>
        <w:tblStyle w:val="20"/>
        <w:tblW w:w="849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06"/>
        <w:gridCol w:w="3811"/>
        <w:gridCol w:w="1221"/>
        <w:gridCol w:w="1236"/>
        <w:gridCol w:w="1221"/>
      </w:tblGrid>
      <w:tr w14:paraId="62BC82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6561736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故障等级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5433C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定义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5E5B21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响应时间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B04683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到场时间</w:t>
            </w:r>
          </w:p>
        </w:tc>
        <w:tc>
          <w:tcPr>
            <w:tcW w:w="1221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D7F9B0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解决时限</w:t>
            </w:r>
          </w:p>
        </w:tc>
      </w:tr>
      <w:tr w14:paraId="289B64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7D9ADD5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一级故障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EE6505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平台核心服务中断、数据库不可用或数据丢失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8E0AA4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10分钟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9601C5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30分钟内</w:t>
            </w:r>
          </w:p>
        </w:tc>
        <w:tc>
          <w:tcPr>
            <w:tcW w:w="122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0F85F96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2小时内</w:t>
            </w:r>
          </w:p>
        </w:tc>
      </w:tr>
      <w:tr w14:paraId="128AF5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FDF3A3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二级故障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BDD7AC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非核心区域单点应用服务异常或响应超时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D483E1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20分钟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E655A7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1小时内</w:t>
            </w:r>
          </w:p>
        </w:tc>
        <w:tc>
          <w:tcPr>
            <w:tcW w:w="122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2B9EB40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8小时内</w:t>
            </w:r>
          </w:p>
        </w:tc>
      </w:tr>
      <w:tr w14:paraId="672FDB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006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1D5B03C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三级故障</w:t>
            </w:r>
          </w:p>
        </w:tc>
        <w:tc>
          <w:tcPr>
            <w:tcW w:w="381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48D3CB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辅助设备故障（辅助监控终端、UPS电源等）</w:t>
            </w:r>
          </w:p>
        </w:tc>
        <w:tc>
          <w:tcPr>
            <w:tcW w:w="122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D2F4DB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1小时</w:t>
            </w:r>
          </w:p>
        </w:tc>
        <w:tc>
          <w:tcPr>
            <w:tcW w:w="123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E40487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4小时内</w:t>
            </w:r>
          </w:p>
        </w:tc>
        <w:tc>
          <w:tcPr>
            <w:tcW w:w="122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323EDE3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24小时内</w:t>
            </w:r>
          </w:p>
        </w:tc>
      </w:tr>
    </w:tbl>
    <w:p w14:paraId="01650D59">
      <w:pPr>
        <w:pStyle w:val="29"/>
        <w:numPr>
          <w:ilvl w:val="0"/>
          <w:numId w:val="3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故障处理流程</w:t>
      </w:r>
    </w:p>
    <w:p w14:paraId="0484442E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用户报修 → 服务台受理并分级 → 派发运维工程师 → 现场处理 → 恢复确认 → 回访关闭</w:t>
      </w:r>
    </w:p>
    <w:p w14:paraId="0C0F17CB">
      <w:pPr>
        <w:pStyle w:val="30"/>
        <w:bidi w:val="0"/>
        <w:rPr>
          <w:rFonts w:hint="default"/>
          <w:lang w:val="en-US" w:eastAsia="zh-CN"/>
        </w:rPr>
      </w:pPr>
      <w:bookmarkStart w:id="10" w:name="_Toc16187"/>
      <w:r>
        <w:rPr>
          <w:rFonts w:hint="default"/>
          <w:lang w:val="en-US" w:eastAsia="zh-CN"/>
        </w:rPr>
        <w:t>资产与档案管理</w:t>
      </w:r>
      <w:bookmarkEnd w:id="10"/>
    </w:p>
    <w:p w14:paraId="35835594">
      <w:pPr>
        <w:pStyle w:val="29"/>
        <w:numPr>
          <w:ilvl w:val="0"/>
          <w:numId w:val="4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资产台账建立</w:t>
      </w:r>
    </w:p>
    <w:p w14:paraId="44B7C9BA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建立《智慧工程管理平台资产台账》，记录每个服务节点的：</w:t>
      </w:r>
    </w:p>
    <w:p w14:paraId="2729F325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安装日期</w:t>
      </w:r>
    </w:p>
    <w:p w14:paraId="266E2C3A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设备SN码</w:t>
      </w:r>
    </w:p>
    <w:p w14:paraId="4BC7F953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IP地址</w:t>
      </w:r>
    </w:p>
    <w:p w14:paraId="752ED317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取电路径</w:t>
      </w:r>
    </w:p>
    <w:p w14:paraId="66D2294E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维修履历</w:t>
      </w:r>
    </w:p>
    <w:p w14:paraId="0BDE9E8F">
      <w:pPr>
        <w:pStyle w:val="29"/>
        <w:numPr>
          <w:ilvl w:val="0"/>
          <w:numId w:val="4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定期报告</w:t>
      </w:r>
    </w:p>
    <w:p w14:paraId="0D1D3E1A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每季度末向甲方提交《系统可用率统计表》，剔除因市政施工、供电局停电等非乙方原因造成的离线。</w:t>
      </w:r>
    </w:p>
    <w:p w14:paraId="22F097BE">
      <w:pPr>
        <w:pStyle w:val="28"/>
        <w:bidi w:val="0"/>
        <w:rPr>
          <w:rFonts w:hint="default"/>
          <w:lang w:val="en-US" w:eastAsia="zh-CN"/>
        </w:rPr>
      </w:pPr>
      <w:bookmarkStart w:id="11" w:name="_Toc5898"/>
      <w:r>
        <w:rPr>
          <w:rFonts w:hint="default"/>
          <w:lang w:val="en-US" w:eastAsia="zh-CN"/>
        </w:rPr>
        <w:t>服务等级协议（SLA）与考核</w:t>
      </w:r>
      <w:bookmarkEnd w:id="11"/>
    </w:p>
    <w:p w14:paraId="559DAF9A">
      <w:pPr>
        <w:pStyle w:val="30"/>
        <w:bidi w:val="0"/>
        <w:rPr>
          <w:rFonts w:hint="default"/>
          <w:lang w:val="en-US" w:eastAsia="zh-CN"/>
        </w:rPr>
      </w:pPr>
      <w:bookmarkStart w:id="12" w:name="_Toc31963"/>
      <w:r>
        <w:rPr>
          <w:rFonts w:hint="default"/>
          <w:lang w:val="en-US" w:eastAsia="zh-CN"/>
        </w:rPr>
        <w:t>系统可用率考核</w:t>
      </w:r>
      <w:bookmarkEnd w:id="12"/>
    </w:p>
    <w:tbl>
      <w:tblPr>
        <w:tblStyle w:val="20"/>
        <w:tblW w:w="849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65"/>
        <w:gridCol w:w="1249"/>
        <w:gridCol w:w="1494"/>
        <w:gridCol w:w="3787"/>
      </w:tblGrid>
      <w:tr w14:paraId="10F304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0602AA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指标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FEA0E8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目标值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8450B5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考核周期</w:t>
            </w:r>
          </w:p>
        </w:tc>
        <w:tc>
          <w:tcPr>
            <w:tcW w:w="3787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0327F0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奖惩标准</w:t>
            </w:r>
          </w:p>
        </w:tc>
      </w:tr>
      <w:tr w14:paraId="7EE169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965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7C93F5B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月度平均系统可用率</w:t>
            </w:r>
          </w:p>
        </w:tc>
        <w:tc>
          <w:tcPr>
            <w:tcW w:w="124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83B069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≥98%</w:t>
            </w:r>
          </w:p>
        </w:tc>
        <w:tc>
          <w:tcPr>
            <w:tcW w:w="149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26D57C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月度</w:t>
            </w:r>
          </w:p>
        </w:tc>
        <w:tc>
          <w:tcPr>
            <w:tcW w:w="378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5291132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每低于0.5%，扣除当月运维费2%</w:t>
            </w:r>
          </w:p>
        </w:tc>
      </w:tr>
    </w:tbl>
    <w:p w14:paraId="737204F9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特别说明：离线原因属市政施工、供电局停电等非乙方责任的，不计入系统可用率统计。</w:t>
      </w:r>
    </w:p>
    <w:p w14:paraId="3F8739D3">
      <w:pPr>
        <w:pStyle w:val="30"/>
        <w:bidi w:val="0"/>
        <w:rPr>
          <w:rFonts w:hint="default"/>
          <w:lang w:val="en-US" w:eastAsia="zh-CN"/>
        </w:rPr>
      </w:pPr>
      <w:bookmarkStart w:id="13" w:name="_Toc26975"/>
      <w:r>
        <w:rPr>
          <w:rFonts w:hint="default"/>
          <w:lang w:val="en-US" w:eastAsia="zh-CN"/>
        </w:rPr>
        <w:t>响应及时性考核</w:t>
      </w:r>
      <w:bookmarkEnd w:id="13"/>
    </w:p>
    <w:tbl>
      <w:tblPr>
        <w:tblStyle w:val="20"/>
        <w:tblW w:w="849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15"/>
        <w:gridCol w:w="2943"/>
        <w:gridCol w:w="3737"/>
      </w:tblGrid>
      <w:tr w14:paraId="64001D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72EDF78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故障等级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233E5F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到场时限</w:t>
            </w:r>
          </w:p>
        </w:tc>
        <w:tc>
          <w:tcPr>
            <w:tcW w:w="3737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E7ACD4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违约扣款</w:t>
            </w:r>
          </w:p>
        </w:tc>
      </w:tr>
      <w:tr w14:paraId="0AE72C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15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7D5F7FF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一级故障</w:t>
            </w:r>
          </w:p>
        </w:tc>
        <w:tc>
          <w:tcPr>
            <w:tcW w:w="294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BA1E4E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30分钟内到场</w:t>
            </w:r>
          </w:p>
        </w:tc>
        <w:tc>
          <w:tcPr>
            <w:tcW w:w="373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4E0B833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每次扣除年运维费2%</w:t>
            </w:r>
          </w:p>
        </w:tc>
      </w:tr>
    </w:tbl>
    <w:p w14:paraId="37A9D02E">
      <w:pPr>
        <w:pStyle w:val="30"/>
        <w:bidi w:val="0"/>
        <w:rPr>
          <w:rFonts w:hint="default"/>
          <w:lang w:val="en-US" w:eastAsia="zh-CN"/>
        </w:rPr>
      </w:pPr>
      <w:bookmarkStart w:id="14" w:name="_Toc22748"/>
      <w:r>
        <w:rPr>
          <w:rFonts w:hint="default"/>
          <w:lang w:val="en-US" w:eastAsia="zh-CN"/>
        </w:rPr>
        <w:t>质量考核</w:t>
      </w:r>
      <w:bookmarkEnd w:id="14"/>
    </w:p>
    <w:p w14:paraId="12B299BC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因乙方维护不当（如未扎紧机柜门导致进水）造成设备烧毁的，由乙方免费更换同规格设备，不计入材料费分担范围。</w:t>
      </w:r>
    </w:p>
    <w:p w14:paraId="0A56119B">
      <w:pPr>
        <w:pStyle w:val="28"/>
        <w:bidi w:val="0"/>
        <w:rPr>
          <w:rFonts w:hint="default"/>
          <w:lang w:val="en-US" w:eastAsia="zh-CN"/>
        </w:rPr>
      </w:pPr>
      <w:bookmarkStart w:id="15" w:name="_Toc32373"/>
      <w:r>
        <w:rPr>
          <w:rFonts w:hint="default"/>
          <w:lang w:val="en-US" w:eastAsia="zh-CN"/>
        </w:rPr>
        <w:t>备品备件管理</w:t>
      </w:r>
      <w:bookmarkEnd w:id="15"/>
    </w:p>
    <w:p w14:paraId="146EFA47">
      <w:pPr>
        <w:pStyle w:val="30"/>
        <w:bidi w:val="0"/>
        <w:rPr>
          <w:rFonts w:hint="default"/>
          <w:lang w:val="en-US" w:eastAsia="zh-CN"/>
        </w:rPr>
      </w:pPr>
      <w:bookmarkStart w:id="16" w:name="_Toc14317"/>
      <w:r>
        <w:rPr>
          <w:rFonts w:hint="default"/>
          <w:lang w:val="en-US" w:eastAsia="zh-CN"/>
        </w:rPr>
        <w:t>备机机制</w:t>
      </w:r>
      <w:bookmarkEnd w:id="16"/>
    </w:p>
    <w:p w14:paraId="68308BC4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乙方常备应用服务器、数据库服务器各1台作为冷备节点（含预装系统镜像），配备冗余交换机</w:t>
      </w:r>
    </w:p>
    <w:p w14:paraId="76544ED6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应用服务或数据库故障优先切换至备用节点恢复，故障节点下线排查修复后重新上线</w:t>
      </w:r>
    </w:p>
    <w:p w14:paraId="4CB69177">
      <w:pPr>
        <w:pStyle w:val="30"/>
        <w:bidi w:val="0"/>
        <w:rPr>
          <w:rFonts w:hint="default"/>
          <w:lang w:val="en-US" w:eastAsia="zh-CN"/>
        </w:rPr>
      </w:pPr>
      <w:bookmarkStart w:id="17" w:name="_Toc14698"/>
      <w:r>
        <w:rPr>
          <w:rFonts w:hint="default"/>
          <w:lang w:val="en-US" w:eastAsia="zh-CN"/>
        </w:rPr>
        <w:t>费用分担</w:t>
      </w:r>
      <w:bookmarkEnd w:id="17"/>
    </w:p>
    <w:tbl>
      <w:tblPr>
        <w:tblStyle w:val="20"/>
        <w:tblW w:w="849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883"/>
        <w:gridCol w:w="4612"/>
      </w:tblGrid>
      <w:tr w14:paraId="1ED7BD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083E3FE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情形</w:t>
            </w:r>
          </w:p>
        </w:tc>
        <w:tc>
          <w:tcPr>
            <w:tcW w:w="4612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C6F82A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费用承担</w:t>
            </w:r>
          </w:p>
        </w:tc>
      </w:tr>
      <w:tr w14:paraId="706CCE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4B85AB4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质保期内硬件损坏</w:t>
            </w:r>
          </w:p>
        </w:tc>
        <w:tc>
          <w:tcPr>
            <w:tcW w:w="461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60EB08B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乙方负责协调原厂更换</w:t>
            </w:r>
          </w:p>
        </w:tc>
      </w:tr>
      <w:tr w14:paraId="5797DD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6274D94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质保期外单次零件≤200元</w:t>
            </w:r>
          </w:p>
        </w:tc>
        <w:tc>
          <w:tcPr>
            <w:tcW w:w="461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0825C4D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乙方承担</w:t>
            </w:r>
          </w:p>
        </w:tc>
      </w:tr>
      <w:tr w14:paraId="0EBD60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3883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94FF29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质保期外单次零件＞200元</w:t>
            </w:r>
          </w:p>
        </w:tc>
        <w:tc>
          <w:tcPr>
            <w:tcW w:w="461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64B5180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甲方承担材料费，乙方免人工费</w:t>
            </w:r>
          </w:p>
        </w:tc>
      </w:tr>
    </w:tbl>
    <w:p w14:paraId="7B0C35E6">
      <w:pPr>
        <w:pStyle w:val="28"/>
        <w:bidi w:val="0"/>
        <w:rPr>
          <w:rFonts w:hint="default"/>
          <w:lang w:val="en-US" w:eastAsia="zh-CN"/>
        </w:rPr>
      </w:pPr>
      <w:bookmarkStart w:id="18" w:name="_Toc25907"/>
      <w:r>
        <w:rPr>
          <w:rFonts w:hint="default"/>
          <w:lang w:val="en-US" w:eastAsia="zh-CN"/>
        </w:rPr>
        <w:t>信息安全与保密管理</w:t>
      </w:r>
      <w:bookmarkEnd w:id="18"/>
    </w:p>
    <w:p w14:paraId="54BFEB1A">
      <w:pPr>
        <w:pStyle w:val="30"/>
        <w:bidi w:val="0"/>
        <w:rPr>
          <w:rFonts w:hint="default"/>
          <w:lang w:val="en-US" w:eastAsia="zh-CN"/>
        </w:rPr>
      </w:pPr>
      <w:bookmarkStart w:id="19" w:name="_Toc25419"/>
      <w:r>
        <w:rPr>
          <w:rFonts w:hint="default"/>
          <w:lang w:val="en-US" w:eastAsia="zh-CN"/>
        </w:rPr>
        <w:t>保密要求</w:t>
      </w:r>
      <w:bookmarkEnd w:id="19"/>
    </w:p>
    <w:p w14:paraId="56599B43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所有乙方人员必须：</w:t>
      </w:r>
    </w:p>
    <w:p w14:paraId="0FAE09A0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签订《信息安全保密承诺书》</w:t>
      </w:r>
    </w:p>
    <w:p w14:paraId="7F730728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严禁携带未批准的移动存储设备连接运维系统</w:t>
      </w:r>
    </w:p>
    <w:p w14:paraId="4B9BD96B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严禁泄露IP地址、端口信息、平台账号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严禁擅自拷贝、转发、外泄监控平台数据画面或历史录像</w:t>
      </w:r>
    </w:p>
    <w:p w14:paraId="17D2592A">
      <w:pPr>
        <w:pStyle w:val="30"/>
        <w:bidi w:val="0"/>
        <w:rPr>
          <w:rFonts w:hint="default"/>
          <w:lang w:val="en-US" w:eastAsia="zh-CN"/>
        </w:rPr>
      </w:pPr>
      <w:bookmarkStart w:id="20" w:name="_Toc28184"/>
      <w:r>
        <w:rPr>
          <w:rFonts w:hint="default"/>
          <w:lang w:val="en-US" w:eastAsia="zh-CN"/>
        </w:rPr>
        <w:t>人员管理</w:t>
      </w:r>
      <w:bookmarkEnd w:id="20"/>
    </w:p>
    <w:p w14:paraId="4625A616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派驻现场运维人员必须通过公安机关背景审查</w:t>
      </w:r>
    </w:p>
    <w:p w14:paraId="4C09D280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人员身份证信息备案至甲方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所有运维操作在甲方监督下或通过堡垒机进行</w:t>
      </w:r>
    </w:p>
    <w:p w14:paraId="5645F2C4">
      <w:pPr>
        <w:pStyle w:val="28"/>
        <w:bidi w:val="0"/>
        <w:rPr>
          <w:rFonts w:hint="default"/>
          <w:lang w:val="en-US" w:eastAsia="zh-CN"/>
        </w:rPr>
      </w:pPr>
      <w:bookmarkStart w:id="21" w:name="_Toc25122"/>
      <w:r>
        <w:rPr>
          <w:rFonts w:hint="default"/>
          <w:lang w:val="en-US" w:eastAsia="zh-CN"/>
        </w:rPr>
        <w:t>服务实施里程碑计划</w:t>
      </w:r>
      <w:bookmarkEnd w:id="21"/>
    </w:p>
    <w:tbl>
      <w:tblPr>
        <w:tblStyle w:val="20"/>
        <w:tblW w:w="849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89"/>
        <w:gridCol w:w="3250"/>
        <w:gridCol w:w="3056"/>
      </w:tblGrid>
      <w:tr w14:paraId="1E6B58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2189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022A640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时间节点</w:t>
            </w:r>
          </w:p>
        </w:tc>
        <w:tc>
          <w:tcPr>
            <w:tcW w:w="325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B3A073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工作内容</w:t>
            </w:r>
          </w:p>
        </w:tc>
        <w:tc>
          <w:tcPr>
            <w:tcW w:w="3056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9BD922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输出成果</w:t>
            </w:r>
          </w:p>
        </w:tc>
      </w:tr>
      <w:tr w14:paraId="1C2701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18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0B6A782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月（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准备期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）</w:t>
            </w:r>
          </w:p>
        </w:tc>
        <w:tc>
          <w:tcPr>
            <w:tcW w:w="325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4ADE5F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人员到位、备件准备、资产盘点</w:t>
            </w:r>
          </w:p>
        </w:tc>
        <w:tc>
          <w:tcPr>
            <w:tcW w:w="305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5C3977F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人员备案、备件清单、初始台账</w:t>
            </w:r>
          </w:p>
        </w:tc>
      </w:tr>
      <w:tr w14:paraId="58C7E0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18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6ABF64D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月（首月）</w:t>
            </w:r>
          </w:p>
        </w:tc>
        <w:tc>
          <w:tcPr>
            <w:tcW w:w="325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F42C45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首次全覆盖巡检、建立运维基线</w:t>
            </w:r>
          </w:p>
        </w:tc>
        <w:tc>
          <w:tcPr>
            <w:tcW w:w="305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4916F13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首月巡检报告、系统可用率基线</w:t>
            </w:r>
          </w:p>
        </w:tc>
      </w:tr>
      <w:tr w14:paraId="1EF74C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18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11DECD8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2026年Q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325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A03755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季度深度保养、首季系统可用率统计</w:t>
            </w:r>
          </w:p>
        </w:tc>
        <w:tc>
          <w:tcPr>
            <w:tcW w:w="305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66B75C0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深度保养记录、Q3系统可用率报表</w:t>
            </w:r>
          </w:p>
        </w:tc>
      </w:tr>
      <w:tr w14:paraId="7361EB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18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455E699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2026年Q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325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F10B7F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季度深度保养、资产台账更新</w:t>
            </w:r>
          </w:p>
        </w:tc>
        <w:tc>
          <w:tcPr>
            <w:tcW w:w="305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6DFDA7D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深度保养记录、Q4系统可用率报表</w:t>
            </w:r>
          </w:p>
        </w:tc>
      </w:tr>
      <w:tr w14:paraId="1E81A5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18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DEA05B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2026年Q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325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FBC52B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季度深度保养、资产台账更新</w:t>
            </w:r>
          </w:p>
        </w:tc>
        <w:tc>
          <w:tcPr>
            <w:tcW w:w="305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5B4C76F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深度保养记录、Q1系统可用率报表</w:t>
            </w:r>
          </w:p>
        </w:tc>
      </w:tr>
      <w:tr w14:paraId="6D503D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189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32D0C7E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2026年Q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32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A9E906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季度深度保养、年度总结报告</w:t>
            </w:r>
          </w:p>
        </w:tc>
        <w:tc>
          <w:tcPr>
            <w:tcW w:w="305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546E3F1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年度运维总结、续签评估</w:t>
            </w:r>
          </w:p>
        </w:tc>
      </w:tr>
    </w:tbl>
    <w:p w14:paraId="7298581E">
      <w:pPr>
        <w:pStyle w:val="28"/>
        <w:bidi w:val="0"/>
        <w:rPr>
          <w:rFonts w:hint="default"/>
          <w:lang w:val="en-US" w:eastAsia="zh-CN"/>
        </w:rPr>
      </w:pPr>
      <w:bookmarkStart w:id="22" w:name="_Toc7588"/>
      <w:r>
        <w:rPr>
          <w:rFonts w:hint="default"/>
          <w:lang w:val="en-US" w:eastAsia="zh-CN"/>
        </w:rPr>
        <w:t>质量保障与风险控制</w:t>
      </w:r>
      <w:bookmarkEnd w:id="22"/>
    </w:p>
    <w:p w14:paraId="0F2D9779">
      <w:pPr>
        <w:pStyle w:val="30"/>
        <w:bidi w:val="0"/>
        <w:rPr>
          <w:rFonts w:hint="default"/>
          <w:lang w:val="en-US" w:eastAsia="zh-CN"/>
        </w:rPr>
      </w:pPr>
      <w:bookmarkStart w:id="23" w:name="_Toc25969"/>
      <w:r>
        <w:rPr>
          <w:rFonts w:hint="default"/>
          <w:lang w:val="en-US" w:eastAsia="zh-CN"/>
        </w:rPr>
        <w:t>质量保障措施</w:t>
      </w:r>
      <w:bookmarkEnd w:id="23"/>
    </w:p>
    <w:p w14:paraId="12DCA83B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双重巡检：运维工程师自检+项目负责人抽检</w:t>
      </w:r>
    </w:p>
    <w:p w14:paraId="4EE3A374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工单闭环：所有故障处理均通过工单系统记录、跟踪、回访</w:t>
      </w:r>
    </w:p>
    <w:p w14:paraId="6A75BD83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月度复盘：每月召开项目内部复盘会，分析故障原因与改进措施</w:t>
      </w:r>
    </w:p>
    <w:p w14:paraId="28B6BDA9">
      <w:pPr>
        <w:pStyle w:val="30"/>
        <w:bidi w:val="0"/>
        <w:rPr>
          <w:rFonts w:hint="default"/>
          <w:lang w:val="en-US" w:eastAsia="zh-CN"/>
        </w:rPr>
      </w:pPr>
      <w:bookmarkStart w:id="24" w:name="_Toc7037"/>
      <w:r>
        <w:rPr>
          <w:rFonts w:hint="default"/>
          <w:lang w:val="en-US" w:eastAsia="zh-CN"/>
        </w:rPr>
        <w:t>风险控制</w:t>
      </w:r>
      <w:bookmarkEnd w:id="24"/>
    </w:p>
    <w:tbl>
      <w:tblPr>
        <w:tblStyle w:val="20"/>
        <w:tblW w:w="849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85"/>
        <w:gridCol w:w="2842"/>
        <w:gridCol w:w="4468"/>
      </w:tblGrid>
      <w:tr w14:paraId="22897F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EAD165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风险类型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BA342B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风险描述</w:t>
            </w:r>
          </w:p>
        </w:tc>
        <w:tc>
          <w:tcPr>
            <w:tcW w:w="4468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85EAA9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应对措施</w:t>
            </w:r>
          </w:p>
        </w:tc>
      </w:tr>
      <w:tr w14:paraId="14A19B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66B9B88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人员风险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2E4C3D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关键人员离职</w:t>
            </w:r>
          </w:p>
        </w:tc>
        <w:tc>
          <w:tcPr>
            <w:tcW w:w="446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1183BB3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建立AB角机制，确保人员冗余</w:t>
            </w:r>
          </w:p>
        </w:tc>
      </w:tr>
      <w:tr w14:paraId="124C3F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62C7587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备件风险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E1BEC9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备件不足导致超时</w:t>
            </w:r>
          </w:p>
        </w:tc>
        <w:tc>
          <w:tcPr>
            <w:tcW w:w="446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539A874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每月盘点备件库存，低于阈值及时补充</w:t>
            </w:r>
          </w:p>
        </w:tc>
      </w:tr>
      <w:tr w14:paraId="19D655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0BDD351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恶劣天气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F9D533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台风、暴雨影响抢修</w:t>
            </w:r>
          </w:p>
        </w:tc>
        <w:tc>
          <w:tcPr>
            <w:tcW w:w="446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236B92A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提前预警，储备应急物资，调整作业计划</w:t>
            </w:r>
          </w:p>
        </w:tc>
      </w:tr>
      <w:tr w14:paraId="7A5FFF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85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013C35C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市政施工</w:t>
            </w:r>
          </w:p>
        </w:tc>
        <w:tc>
          <w:tcPr>
            <w:tcW w:w="284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52DB6E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非乙方责任的线路中断</w:t>
            </w:r>
          </w:p>
        </w:tc>
        <w:tc>
          <w:tcPr>
            <w:tcW w:w="446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2C059C5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及时记录并告知甲方，不计入系统可用率考核</w:t>
            </w:r>
          </w:p>
        </w:tc>
      </w:tr>
    </w:tbl>
    <w:p w14:paraId="2498E031">
      <w:pPr>
        <w:pStyle w:val="28"/>
        <w:bidi w:val="0"/>
        <w:rPr>
          <w:rFonts w:hint="default"/>
          <w:lang w:val="en-US" w:eastAsia="zh-CN"/>
        </w:rPr>
      </w:pPr>
      <w:bookmarkStart w:id="25" w:name="_Toc7089"/>
      <w:r>
        <w:rPr>
          <w:rFonts w:hint="default"/>
          <w:lang w:val="en-US" w:eastAsia="zh-CN"/>
        </w:rPr>
        <w:t>费用结算与支付</w:t>
      </w:r>
      <w:bookmarkEnd w:id="25"/>
    </w:p>
    <w:p w14:paraId="76565E1E">
      <w:pPr>
        <w:pStyle w:val="30"/>
        <w:bidi w:val="0"/>
        <w:rPr>
          <w:rFonts w:hint="default"/>
          <w:lang w:val="en-US" w:eastAsia="zh-CN"/>
        </w:rPr>
      </w:pPr>
      <w:bookmarkStart w:id="26" w:name="_Toc5120"/>
      <w:r>
        <w:rPr>
          <w:rFonts w:hint="default"/>
          <w:lang w:val="en-US" w:eastAsia="zh-CN"/>
        </w:rPr>
        <w:t>支付方式</w:t>
      </w:r>
      <w:bookmarkEnd w:id="26"/>
    </w:p>
    <w:p w14:paraId="66044FEF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采取“季度支付”模式：</w:t>
      </w:r>
    </w:p>
    <w:p w14:paraId="0BB22A62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每季度结束后，乙方提交巡检报告、维修记录及系统可用率统计表</w:t>
      </w:r>
    </w:p>
    <w:p w14:paraId="66C50E7B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甲方审核通过并收到发票后，15个工作日内支付该季度费用</w:t>
      </w:r>
    </w:p>
    <w:p w14:paraId="0B76BE16">
      <w:pPr>
        <w:pStyle w:val="30"/>
        <w:bidi w:val="0"/>
        <w:rPr>
          <w:rFonts w:hint="default"/>
          <w:lang w:val="en-US" w:eastAsia="zh-CN"/>
        </w:rPr>
      </w:pPr>
      <w:bookmarkStart w:id="27" w:name="_Toc24708"/>
      <w:r>
        <w:rPr>
          <w:rFonts w:hint="default"/>
          <w:lang w:val="en-US" w:eastAsia="zh-CN"/>
        </w:rPr>
        <w:t>费用组成</w:t>
      </w:r>
      <w:bookmarkEnd w:id="27"/>
    </w:p>
    <w:p w14:paraId="2588719C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合同总价含备件费、人工费、车辆费、管理费及税金，具体金额以合同约定为准。</w:t>
      </w:r>
    </w:p>
    <w:p w14:paraId="35A1915C">
      <w:pPr>
        <w:pStyle w:val="28"/>
        <w:bidi w:val="0"/>
        <w:rPr>
          <w:rFonts w:hint="default"/>
          <w:lang w:val="en-US" w:eastAsia="zh-CN"/>
        </w:rPr>
      </w:pPr>
      <w:bookmarkStart w:id="28" w:name="_Toc14869"/>
      <w:r>
        <w:rPr>
          <w:rFonts w:hint="default"/>
          <w:lang w:val="en-US" w:eastAsia="zh-CN"/>
        </w:rPr>
        <w:t>本方案的管理</w:t>
      </w:r>
      <w:bookmarkEnd w:id="28"/>
    </w:p>
    <w:p w14:paraId="0615D63D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本方案自批准之日起生效，有效期至2026年</w:t>
      </w:r>
      <w:r>
        <w:rPr>
          <w:rFonts w:hint="eastAsia"/>
          <w:lang w:val="en-US" w:eastAsia="zh-CN"/>
        </w:rPr>
        <w:t>12</w:t>
      </w:r>
      <w:r>
        <w:rPr>
          <w:rFonts w:hint="default"/>
          <w:lang w:val="en-US" w:eastAsia="zh-CN"/>
        </w:rPr>
        <w:t>月31日。方案执行过程中如需调整，须报经营拓展部经理审核、甲方确认后方可变更。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4FCFAA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中机创新科技发展（重庆）有限公司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E0701BFA"/>
    <w:multiLevelType w:val="singleLevel"/>
    <w:tmpl w:val="E0701BF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FE29FA98"/>
    <w:multiLevelType w:val="singleLevel"/>
    <w:tmpl w:val="FE29FA9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08BA1DA2"/>
    <w:multiLevelType w:val="singleLevel"/>
    <w:tmpl w:val="08BA1DA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37A6773"/>
    <w:rsid w:val="1213426D"/>
    <w:rsid w:val="210429F8"/>
    <w:rsid w:val="21070F12"/>
    <w:rsid w:val="22680EB9"/>
    <w:rsid w:val="30B05F05"/>
    <w:rsid w:val="3AC21656"/>
    <w:rsid w:val="3D491AA7"/>
    <w:rsid w:val="3FFF0C57"/>
    <w:rsid w:val="536C4F46"/>
    <w:rsid w:val="554D06EE"/>
    <w:rsid w:val="610B23D7"/>
    <w:rsid w:val="65641412"/>
    <w:rsid w:val="65AF14E6"/>
    <w:rsid w:val="77713ED2"/>
    <w:rsid w:val="783E7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2548</Words>
  <Characters>2753</Characters>
  <Lines>0</Lines>
  <Paragraphs>0</Paragraphs>
  <TotalTime>0</TotalTime>
  <ScaleCrop>false</ScaleCrop>
  <LinksUpToDate>false</LinksUpToDate>
  <CharactersWithSpaces>2994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2026-08-10T00:15:50Z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2052-12.1.0.26895</vt:lpwstr>
  </property>
  <property fmtid="{D5CDD505-2E9C-101B-9397-08002B2CF9AE}" pid="4" name="KSOTemplateDocerSaveRecord">
    <vt:lpwstr>eyJoZGlkIjoiMDY5NmFjMmM4ZTljMGJiZDAxN2JmYTc0NGI0NmFiNDgiLCJ1c2VySWQiOiIxMDc1MzgyOSJ9</vt:lpwstr>
  </property>
</Properties>
</file>