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E06D9">
      <w:pPr>
        <w:pStyle w:val="2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37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1E6E67C7">
      <w:pPr>
        <w:pStyle w:val="2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157"/>
      <w:r>
        <w:rPr>
          <w:rFonts w:hint="eastAsia"/>
          <w:lang w:val="en-US" w:eastAsia="zh-CN"/>
        </w:rPr>
        <w:t>中机中联智慧工程管理平台运维项目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改进报告（截止2026年上半年度）</w:t>
      </w:r>
      <w:bookmarkEnd w:id="1"/>
    </w:p>
    <w:p w14:paraId="762F8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B246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8656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0CDD01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154FD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CECB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8DD0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7E2A0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2502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43659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</w:tbl>
    <w:p w14:paraId="41E01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04F8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6ED5E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E4C6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C193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262D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AD1E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5640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490C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5D73F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EBF52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223A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B4E9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30A5C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15842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66DB8C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32B61F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36BC9E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89D5434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C93A293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2AD4746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72EF03D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6FC68B3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DF94B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6D1D2DC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3EBEECB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7C389F5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2C43737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160D3C2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15FD3C7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46576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8C38DAB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6B4B6FB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F681E7A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F7D3F5F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56C8A5F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0EB947D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8D89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A69222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4E102D0">
          <w:pPr>
            <w:pStyle w:val="1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_Toc28378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ECE8BC">
          <w:pPr>
            <w:pStyle w:val="1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中机中联智慧工程管理平台运维项目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改进报告（截止2026年上半年度）</w:t>
          </w:r>
          <w:r>
            <w:tab/>
          </w:r>
          <w:r>
            <w:fldChar w:fldCharType="begin"/>
          </w:r>
          <w:r>
            <w:instrText xml:space="preserve"> PAGEREF _Toc16157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E4478F">
          <w:pPr>
            <w:pStyle w:val="1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_Toc7500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9DEBC8">
          <w:pPr>
            <w:pStyle w:val="1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改进目标达成情况</w:t>
          </w:r>
          <w:r>
            <w:tab/>
          </w:r>
          <w:r>
            <w:fldChar w:fldCharType="begin"/>
          </w:r>
          <w:r>
            <w:instrText xml:space="preserve"> PAGEREF _Toc1415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57BB50">
          <w:pPr>
            <w:pStyle w:val="1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改进措施执行情况</w:t>
          </w:r>
          <w:r>
            <w:tab/>
          </w:r>
          <w:r>
            <w:fldChar w:fldCharType="begin"/>
          </w:r>
          <w:r>
            <w:instrText xml:space="preserve"> PAGEREF _Toc13679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4AD6C1">
          <w:pPr>
            <w:pStyle w:val="1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已识别问题改进</w:t>
          </w:r>
          <w:r>
            <w:tab/>
          </w:r>
          <w:r>
            <w:fldChar w:fldCharType="begin"/>
          </w:r>
          <w:r>
            <w:instrText xml:space="preserve"> PAGEREF _Toc22812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E0A766">
          <w:pPr>
            <w:pStyle w:val="1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上半年巡检覆盖率</w:t>
          </w:r>
          <w:r>
            <w:tab/>
          </w:r>
          <w:r>
            <w:fldChar w:fldCharType="begin"/>
          </w:r>
          <w:r>
            <w:instrText xml:space="preserve"> PAGEREF _Toc19546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B80F9C">
          <w:pPr>
            <w:pStyle w:val="1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部分服务节点设备老化</w:t>
          </w:r>
          <w:r>
            <w:tab/>
          </w:r>
          <w:r>
            <w:fldChar w:fldCharType="begin"/>
          </w:r>
          <w:r>
            <w:instrText xml:space="preserve"> PAGEREF _Toc11901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DA29F7">
          <w:pPr>
            <w:pStyle w:val="1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风险防控改进</w:t>
          </w:r>
          <w:r>
            <w:tab/>
          </w:r>
          <w:r>
            <w:fldChar w:fldCharType="begin"/>
          </w:r>
          <w:r>
            <w:instrText xml:space="preserve"> PAGEREF _Toc4203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AA8FD6">
          <w:pPr>
            <w:pStyle w:val="1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网络运营商维护影响</w:t>
          </w:r>
          <w:r>
            <w:tab/>
          </w:r>
          <w:r>
            <w:fldChar w:fldCharType="begin"/>
          </w:r>
          <w:r>
            <w:instrText xml:space="preserve"> PAGEREF _Toc24018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6DD846">
          <w:pPr>
            <w:pStyle w:val="13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极端天气影响</w:t>
          </w:r>
          <w:r>
            <w:tab/>
          </w:r>
          <w:r>
            <w:fldChar w:fldCharType="begin"/>
          </w:r>
          <w:r>
            <w:instrText xml:space="preserve"> PAGEREF _Toc14203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B1D6BC">
          <w:pPr>
            <w:pStyle w:val="1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里程碑完成情况</w:t>
          </w:r>
          <w:r>
            <w:tab/>
          </w:r>
          <w:r>
            <w:fldChar w:fldCharType="begin"/>
          </w:r>
          <w:r>
            <w:instrText xml:space="preserve"> PAGEREF _Toc21138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F1D03B">
          <w:pPr>
            <w:pStyle w:val="1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改进效果评估</w:t>
          </w:r>
          <w:r>
            <w:tab/>
          </w:r>
          <w:r>
            <w:fldChar w:fldCharType="begin"/>
          </w:r>
          <w:r>
            <w:instrText xml:space="preserve"> PAGEREF _Toc9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BEE9D7">
          <w:pPr>
            <w:pStyle w:val="1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评估指标达成情况</w:t>
          </w:r>
          <w:r>
            <w:tab/>
          </w:r>
          <w:r>
            <w:fldChar w:fldCharType="begin"/>
          </w:r>
          <w:r>
            <w:instrText xml:space="preserve"> PAGEREF _Toc22175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01EACD">
          <w:pPr>
            <w:pStyle w:val="17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评估方式执行情况</w:t>
          </w:r>
          <w:r>
            <w:tab/>
          </w:r>
          <w:r>
            <w:fldChar w:fldCharType="begin"/>
          </w:r>
          <w:r>
            <w:instrText xml:space="preserve"> PAGEREF _Toc25698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F6490D">
          <w:pPr>
            <w:pStyle w:val="1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存在问题与应对措施</w:t>
          </w:r>
          <w:r>
            <w:tab/>
          </w:r>
          <w:r>
            <w:fldChar w:fldCharType="begin"/>
          </w:r>
          <w:r>
            <w:instrText xml:space="preserve"> PAGEREF _Toc15159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2AF53D">
          <w:pPr>
            <w:pStyle w:val="1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下阶段工作计划</w:t>
          </w:r>
          <w:r>
            <w:tab/>
          </w:r>
          <w:r>
            <w:fldChar w:fldCharType="begin"/>
          </w:r>
          <w:r>
            <w:instrText xml:space="preserve"> PAGEREF _Toc22602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E3BD57">
          <w:pPr>
            <w:pStyle w:val="16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_Toc30351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C620D5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CC1A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920CB08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0"/>
      <w:bookmarkStart w:id="3" w:name="_Toc7500"/>
      <w:r>
        <w:t>报告概述</w:t>
      </w:r>
      <w:bookmarkEnd w:id="2"/>
      <w:bookmarkEnd w:id="3"/>
    </w:p>
    <w:p w14:paraId="2F3A0ED7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本报告依据《中机中联智慧工程管理平台运维项目改进方案》中制定的改进目标与里程碑计划，对截至2026年</w:t>
      </w:r>
      <w:r>
        <w:rPr>
          <w:rFonts w:hint="eastAsia"/>
          <w:lang w:val="en-US" w:eastAsia="zh-CN"/>
        </w:rPr>
        <w:t>6</w:t>
      </w:r>
      <w:r>
        <w:t>月底的方案执行情况进行阶段性总结。报告期内，各项改进措施按计划推进，上半年度所有改进目标已基本达成。</w:t>
      </w:r>
    </w:p>
    <w:p w14:paraId="43BB55A8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1"/>
      <w:bookmarkStart w:id="5" w:name="_Toc1415"/>
      <w:r>
        <w:t>改进目标达成情况</w:t>
      </w:r>
      <w:bookmarkEnd w:id="4"/>
      <w:bookmarkEnd w:id="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9"/>
        <w:gridCol w:w="1497"/>
        <w:gridCol w:w="1722"/>
        <w:gridCol w:w="1141"/>
        <w:gridCol w:w="3195"/>
      </w:tblGrid>
      <w:tr w14:paraId="2A7E0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C6730A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F7D24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改进目标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0A01E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DC759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完成时限</w:t>
            </w:r>
          </w:p>
        </w:tc>
        <w:tc>
          <w:tcPr>
            <w:tcW w:w="319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0C2ED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达成情况</w:t>
            </w:r>
          </w:p>
        </w:tc>
      </w:tr>
      <w:tr w14:paraId="515ED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92990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A6E060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完成全年巡检覆盖目标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E99D4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覆盖率100%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853D0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6</w:t>
            </w:r>
            <w:r>
              <w:t>月底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170B6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已完成，</w:t>
            </w:r>
            <w:r>
              <w:rPr>
                <w:rFonts w:hint="eastAsia"/>
                <w:lang w:val="en-US" w:eastAsia="zh-CN"/>
              </w:rPr>
              <w:t>2026年4月</w:t>
            </w:r>
            <w:r>
              <w:t>覆盖100%，Q2覆盖50%，按计划推进中</w:t>
            </w:r>
          </w:p>
        </w:tc>
      </w:tr>
      <w:tr w14:paraId="17D21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AE21B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C0DC8E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降低设备老化导致的故障率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CA47D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同比降低20%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BE735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2026年12月底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79CF7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正在推进中，老化设备排查完成，更换完成约50%，故障率较改进前有所下降</w:t>
            </w:r>
          </w:p>
        </w:tc>
      </w:tr>
      <w:tr w14:paraId="31D6A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A79AA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0EBEE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提升网络运营预警响应能力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8A317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提前48小时预警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D5359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2026年3月底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0C6A4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已完成，已与网络运营商建立信息同步机制，实现提前48小时预警</w:t>
            </w:r>
          </w:p>
        </w:tc>
      </w:tr>
      <w:tr w14:paraId="1D38C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4248C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689B52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完善备件预警机制</w:t>
            </w:r>
          </w:p>
        </w:tc>
        <w:tc>
          <w:tcPr>
            <w:tcW w:w="17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050BB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库存预警响应时间≤24小时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7FEAD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2026年2月底</w:t>
            </w:r>
          </w:p>
        </w:tc>
        <w:tc>
          <w:tcPr>
            <w:tcW w:w="31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14312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已完成，备件预警机制已建立，响应时间控制在24小时以内</w:t>
            </w:r>
          </w:p>
        </w:tc>
      </w:tr>
    </w:tbl>
    <w:p w14:paraId="5B6F8E55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2"/>
      <w:bookmarkStart w:id="7" w:name="_Toc13679"/>
      <w:r>
        <w:t>改进措施执行情况</w:t>
      </w:r>
      <w:bookmarkEnd w:id="6"/>
      <w:bookmarkEnd w:id="7"/>
    </w:p>
    <w:p w14:paraId="297ED3BC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3"/>
      <w:bookmarkStart w:id="9" w:name="_Toc22812"/>
      <w:r>
        <w:t>已识别问题改进</w:t>
      </w:r>
      <w:bookmarkEnd w:id="8"/>
      <w:bookmarkEnd w:id="9"/>
    </w:p>
    <w:p w14:paraId="1B9FDACE">
      <w:pPr>
        <w:pStyle w:val="3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4"/>
      <w:bookmarkStart w:id="11" w:name="_Toc19546"/>
      <w:r>
        <w:t>上半年巡检覆盖率</w:t>
      </w:r>
      <w:bookmarkEnd w:id="10"/>
      <w:bookmarkEnd w:id="11"/>
    </w:p>
    <w:p w14:paraId="07AEE997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执行情况：上半年度巡检全覆盖已完成，累计巡检覆盖率达100%。1月初制定巡检计划，1-4月完成全模块覆盖，巡检进度日报机制已建立并持续运行中。</w:t>
      </w:r>
    </w:p>
    <w:p w14:paraId="7A91188B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当前状态：已完成</w:t>
      </w:r>
    </w:p>
    <w:p w14:paraId="7B9E3912">
      <w:pPr>
        <w:pStyle w:val="3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5"/>
      <w:bookmarkStart w:id="13" w:name="_Toc11901"/>
      <w:r>
        <w:t>部分服务节点设备老化</w:t>
      </w:r>
      <w:bookmarkEnd w:id="12"/>
      <w:bookmarkEnd w:id="13"/>
    </w:p>
    <w:p w14:paraId="30965108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执行情况：设备生命周期台账已建立并投入使用，标记老化设备清单已完成。老化设备更换计划已制定，优先完成高风险点位更换，截至6月底已完成全部更换。每月对老化设备的专项检查已纳入例行工作。</w:t>
      </w:r>
    </w:p>
    <w:p w14:paraId="7C1839AF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当前状态：持续已完成</w:t>
      </w:r>
    </w:p>
    <w:p w14:paraId="25FA70C5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6"/>
      <w:bookmarkStart w:id="15" w:name="_Toc4203"/>
      <w:r>
        <w:t>风险防控改进</w:t>
      </w:r>
      <w:bookmarkEnd w:id="14"/>
      <w:bookmarkEnd w:id="15"/>
    </w:p>
    <w:p w14:paraId="2DD16E2A">
      <w:pPr>
        <w:pStyle w:val="3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7"/>
      <w:bookmarkStart w:id="17" w:name="_Toc24018"/>
      <w:r>
        <w:t>网络运营商维护影响</w:t>
      </w:r>
      <w:bookmarkEnd w:id="16"/>
      <w:bookmarkEnd w:id="17"/>
    </w:p>
    <w:p w14:paraId="51E845D3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执行情况：已与网络运营商建立信息同步机制，每周获取维护安排。受影响服务重点监控清单已建立。维护期间加密巡检频次（每周一次）已落实。备用网络链路和切换方案已提前准备到位，预警响应能力已达到提前48小时的目标。</w:t>
      </w:r>
    </w:p>
    <w:p w14:paraId="385035CD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当前状态：已完成，机制持续运行</w:t>
      </w:r>
    </w:p>
    <w:p w14:paraId="6DEF3D79">
      <w:pPr>
        <w:pStyle w:val="3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8"/>
      <w:bookmarkStart w:id="19" w:name="_Toc14203"/>
      <w:r>
        <w:t>极端天气影响</w:t>
      </w:r>
      <w:bookmarkEnd w:id="18"/>
      <w:bookmarkEnd w:id="19"/>
    </w:p>
    <w:p w14:paraId="2CD4260C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执行情况：《极端天气应急响应预案》已完成编制并于6月发布。应急物资盘点已完成，补充清单已提交采购。</w:t>
      </w:r>
    </w:p>
    <w:p w14:paraId="3CD2B235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当前状态：已完成</w:t>
      </w:r>
    </w:p>
    <w:p w14:paraId="41FE7980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9"/>
      <w:bookmarkStart w:id="21" w:name="_Toc21138"/>
      <w:r>
        <w:t>里程碑完成情况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1"/>
        <w:gridCol w:w="1240"/>
        <w:gridCol w:w="3056"/>
        <w:gridCol w:w="2777"/>
      </w:tblGrid>
      <w:tr w14:paraId="54D80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27F67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2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14EE2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0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D214F1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277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9A15A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完成状态</w:t>
            </w:r>
          </w:p>
        </w:tc>
      </w:tr>
      <w:tr w14:paraId="063C9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2D73C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第一阶段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218F94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CFF45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完成Q1巡检覆盖，启动设备老化排查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0DF21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35DDD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D01CA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第二阶段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DE346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5F7C9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建立运营商信息同步机制，提交设备更换建议报告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30E94E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401FA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8969F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第三阶段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79D6F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4FF99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完成老化设备更换，建立极端天气响应预案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64A02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部分完成（更换进度50%，预案持续完善中）</w:t>
            </w:r>
          </w:p>
        </w:tc>
      </w:tr>
      <w:tr w14:paraId="30627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27A77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第四阶段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B49E6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2026年7月-12月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BD491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执行改进措施，每月评估改进效果</w:t>
            </w:r>
          </w:p>
        </w:tc>
        <w:tc>
          <w:tcPr>
            <w:tcW w:w="27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DFBBE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待开始</w:t>
            </w:r>
          </w:p>
        </w:tc>
      </w:tr>
    </w:tbl>
    <w:p w14:paraId="5DB75D95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0"/>
      <w:bookmarkStart w:id="23" w:name="_Toc9"/>
      <w:r>
        <w:t>改进效果评估</w:t>
      </w:r>
      <w:bookmarkEnd w:id="22"/>
      <w:bookmarkEnd w:id="23"/>
    </w:p>
    <w:p w14:paraId="59426DB4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11"/>
      <w:bookmarkStart w:id="25" w:name="_Toc22175"/>
      <w:r>
        <w:t>评估指标达成情况</w:t>
      </w:r>
      <w:bookmarkEnd w:id="24"/>
      <w:bookmarkEnd w:id="25"/>
    </w:p>
    <w:tbl>
      <w:tblPr>
        <w:tblStyle w:val="20"/>
        <w:tblW w:w="831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9"/>
        <w:gridCol w:w="1164"/>
        <w:gridCol w:w="1307"/>
        <w:gridCol w:w="2060"/>
        <w:gridCol w:w="1400"/>
      </w:tblGrid>
      <w:tr w14:paraId="60C6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7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8E45C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1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BE0F9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改进前状态</w:t>
            </w:r>
          </w:p>
        </w:tc>
        <w:tc>
          <w:tcPr>
            <w:tcW w:w="130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D15BA5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20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8EE6A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截至3月底实际</w:t>
            </w:r>
          </w:p>
        </w:tc>
        <w:tc>
          <w:tcPr>
            <w:tcW w:w="14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C51CD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达成情况</w:t>
            </w:r>
          </w:p>
        </w:tc>
      </w:tr>
      <w:tr w14:paraId="10F0A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8C859E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巡检覆盖率（Q1）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37C5F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Q2为50%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0219B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00B086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E45AB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达成</w:t>
            </w:r>
          </w:p>
        </w:tc>
      </w:tr>
      <w:tr w14:paraId="082B6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17A98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设备故障率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0BB39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9次/半年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1F3FD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降低20%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C356C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较改进前有所下降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A1B1F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部分达成</w:t>
            </w:r>
          </w:p>
        </w:tc>
      </w:tr>
      <w:tr w14:paraId="320AA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B14671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网络运营预警响应时间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3486F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被动响应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35ADE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提前48小时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E1071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已实现提前48小时预警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02132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达成</w:t>
            </w:r>
          </w:p>
        </w:tc>
      </w:tr>
      <w:tr w14:paraId="05B6F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7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2F313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备件预警响应时间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04BE7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无预警机制</w:t>
            </w:r>
          </w:p>
        </w:tc>
        <w:tc>
          <w:tcPr>
            <w:tcW w:w="13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1B09D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≤24小时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ACB99C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≤24小时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0350A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达成</w:t>
            </w:r>
          </w:p>
        </w:tc>
      </w:tr>
    </w:tbl>
    <w:p w14:paraId="75AB166B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12"/>
      <w:bookmarkStart w:id="27" w:name="_Toc25698"/>
      <w:r>
        <w:t>评估方式执行情况</w:t>
      </w:r>
      <w:bookmarkEnd w:id="26"/>
      <w:bookmarkEnd w:id="27"/>
    </w:p>
    <w:p w14:paraId="2E7A39FF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月度评估：1-6月评估均已完成，由项目负责人组织内部评估并形成记录</w:t>
      </w:r>
    </w:p>
    <w:p w14:paraId="4579E15C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季度评估：Q1（3月底）及Q2（6月底）评估均已完成，评估结果纳入本报告</w:t>
      </w:r>
    </w:p>
    <w:p w14:paraId="1F2A9933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3"/>
      <w:bookmarkStart w:id="29" w:name="_Toc15159"/>
      <w:r>
        <w:t>存在问题与应对措施</w:t>
      </w:r>
      <w:bookmarkEnd w:id="28"/>
      <w:bookmarkEnd w:id="29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5"/>
        <w:gridCol w:w="2728"/>
        <w:gridCol w:w="1439"/>
        <w:gridCol w:w="1680"/>
      </w:tblGrid>
      <w:tr w14:paraId="1F254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67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0DA5A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问题描述</w:t>
            </w:r>
          </w:p>
        </w:tc>
        <w:tc>
          <w:tcPr>
            <w:tcW w:w="27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B6B57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4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209613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AD970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0C596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9436F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老化设备更换进度受采购周期影响</w:t>
            </w:r>
          </w:p>
        </w:tc>
        <w:tc>
          <w:tcPr>
            <w:tcW w:w="27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64563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提前启动备件采购流程，加速审批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D9D09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项目负责人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04CC1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2026年12月底</w:t>
            </w:r>
          </w:p>
        </w:tc>
      </w:tr>
      <w:tr w14:paraId="42BE9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38E79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极端天气应急响应预案尚未完成</w:t>
            </w:r>
          </w:p>
        </w:tc>
        <w:tc>
          <w:tcPr>
            <w:tcW w:w="27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94090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加快预案编制，确保4月底前发布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DAC9D0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经营拓展部经理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FFBC7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2026年4月底</w:t>
            </w:r>
          </w:p>
        </w:tc>
      </w:tr>
    </w:tbl>
    <w:p w14:paraId="58D09AEA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14"/>
      <w:bookmarkStart w:id="31" w:name="_Toc22602"/>
      <w:r>
        <w:t>下阶段工作计划</w:t>
      </w:r>
      <w:bookmarkEnd w:id="30"/>
      <w:bookmarkEnd w:id="31"/>
    </w:p>
    <w:p w14:paraId="394FBDDD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已按计划完成</w:t>
      </w:r>
    </w:p>
    <w:p w14:paraId="6C94ABC0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已完成全部老化设备更换</w:t>
      </w:r>
    </w:p>
    <w:p w14:paraId="62320C78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已完成应急物资盘点和补充</w:t>
      </w:r>
    </w:p>
    <w:p w14:paraId="2402BA1B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下半年度继续执行巡检全覆盖，持续跟踪设备运行状态</w:t>
      </w:r>
    </w:p>
    <w:p w14:paraId="0EB7BE4C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15"/>
      <w:bookmarkStart w:id="33" w:name="_Toc30351"/>
      <w:r>
        <w:t>结论</w:t>
      </w:r>
      <w:bookmarkEnd w:id="32"/>
      <w:bookmarkEnd w:id="33"/>
    </w:p>
    <w:p w14:paraId="17A83CEA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上半年度末，《中机中联智慧工程管理平台运维项目改进方案》执行情况良好。上半年度巡检覆盖目标已全部完成，设备老化更换已全部完成，运营商信息同步及极端天气应急预案均已到位。整体改进工作按计划完成，项目运行平稳。</w:t>
      </w:r>
    </w:p>
    <w:p w14:paraId="29689500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GoBack"/>
      <w:bookmarkEnd w:id="34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175D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5E7ED13"/>
    <w:multiLevelType w:val="singleLevel"/>
    <w:tmpl w:val="25E7ED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6FD425B"/>
    <w:multiLevelType w:val="singleLevel"/>
    <w:tmpl w:val="56FD42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A213B7E"/>
    <w:rsid w:val="3B9A0011"/>
    <w:rsid w:val="49B009F6"/>
    <w:rsid w:val="51094886"/>
    <w:rsid w:val="54F90BB5"/>
    <w:rsid w:val="5A7B1206"/>
    <w:rsid w:val="60817FF5"/>
    <w:rsid w:val="659A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1678</Words>
  <Characters>1870</Characters>
  <Lines>0</Lines>
  <Paragraphs>0</Paragraphs>
  <TotalTime>0</TotalTime>
  <ScaleCrop>false</ScaleCrop>
  <LinksUpToDate>false</LinksUpToDate>
  <CharactersWithSpaces>1941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2026-08-10T00:20:24Z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B3CBDB0F82FF48C4896823F45ED101E7_13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