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Sinisuohaukka</w:t>
      </w:r>
    </w:p>
    <w:p>
      <w:pPr>
        <w:pStyle w:val="Heading2"/>
        <w:rPr/>
      </w:pPr>
      <w:r>
        <w:rPr/>
        <w:t>Blå kärrhök</w:t>
      </w:r>
    </w:p>
    <w:p>
      <w:pPr>
        <w:pStyle w:val="Heading2"/>
        <w:rPr>
          <w:i/>
          <w:i/>
        </w:rPr>
      </w:pPr>
      <w:r>
        <w:rPr>
          <w:i/>
        </w:rPr>
        <w:t>Circus cyaneus</w:t>
      </w:r>
    </w:p>
    <w:p>
      <w:pPr>
        <w:pStyle w:val="Heading2"/>
        <w:rPr/>
      </w:pPr>
      <w:r>
        <w:rPr/>
        <w:t>Hen Harrier</w:t>
      </w:r>
    </w:p>
    <w:p>
      <w:pPr>
        <w:pStyle w:val="NoSpacing"/>
        <w:rPr/>
      </w:pPr>
      <w:r>
        <w:rPr/>
      </w:r>
    </w:p>
    <w:p>
      <w:pPr>
        <w:pStyle w:val="NoSpacing"/>
        <w:rPr/>
      </w:pPr>
      <w:r>
        <w:rPr/>
      </w:r>
    </w:p>
    <w:p>
      <w:pPr>
        <w:pStyle w:val="NoSpacing"/>
        <w:rPr/>
      </w:pPr>
      <w:r>
        <w:rPr/>
        <w:t>Sinisuohaukka pesii laajalla alueella Euraasiassa, levinneisyyden ulottuessa Länsi-Euroopasta Fennoskandiaan ja Itä-Euroopan kautta laajana vyöhykkeenä itäiselle Venäjälle. Suomen pesimäkanta painottuu Pohjanmaalle, Pohjois-Karjalaan, Kainuuseen ja metsä-Lappiin. Laji pesii soilla, rantaniityillä ja hakkuuaukoilla. Sinisuohaukka syö pääsääntöisesti pikkunisäkkäitä, joten pesimäkanta ja kannan vuosittainen painopiste vaihtelee voimakkaasti vuosien välillä myyrätilanteen mukaan. Vuonna 2011 pesimäkannan kooksi arvioitiin alle 2 000 paria (</w:t>
      </w:r>
      <w:r>
        <w:rPr>
          <w:rStyle w:val="SubtleEmphasis"/>
        </w:rPr>
        <w:t>Valkama ym. 2011</w:t>
      </w:r>
      <w:r>
        <w:rPr/>
        <w:t>).</w:t>
      </w:r>
    </w:p>
    <w:p>
      <w:pPr>
        <w:pStyle w:val="NoSpacing"/>
        <w:rPr/>
      </w:pPr>
      <w:r>
        <w:rPr/>
      </w:r>
    </w:p>
    <w:p>
      <w:pPr>
        <w:pStyle w:val="NoSpacing"/>
        <w:rPr/>
      </w:pPr>
      <w:r>
        <w:rPr/>
        <w:t>Sinisuohaukkaa tavataan Haliaksella läpimuuttajana. Ensimmäisiä kevätmuuttajia havaitaan maaliskuussa, ja päämutto osuu huhtikuulle, jolloin päiväsummat yltävät muutamiin yksilöihin. Kevätmuuttajia nähdään vielä toukokuussa, mutta kesäkuukausina laji on jo harvalukuinen. Syysmuutto käynnistyy elokuussa, ja koko syyskuu on päämuuttoaikaa, jolloin asemalta käsin voi havaita useita yli kymmenen yksilön päivämuuttoja. Sinisuohaukka on säännöllinen vielä lokakuussa, ja yksittäisiä muuttajia näkee vielä marras-joulukuussakin. Talvikuukausina laji on harvalukuinen, toisinaan Tulliniemen saaristossa havaitaan hetkellisesti paikallisina viihtyviä talvehtivia lintuja.</w:t>
      </w:r>
    </w:p>
    <w:p>
      <w:pPr>
        <w:pStyle w:val="NoSpacing"/>
        <w:rPr/>
      </w:pPr>
      <w:r>
        <w:rPr/>
      </w:r>
    </w:p>
    <w:p>
      <w:pPr>
        <w:pStyle w:val="NoSpacing"/>
        <w:rPr/>
      </w:pPr>
      <w:r>
        <w:rPr/>
        <w:t>Sinisuohaukan havaintomäärät Haliaksella ovat taantuneet hieman pitkällä aikavälillä. Suomen pesimäkanta on petolintujen ruutuseurannan mukaan puoliintunut viimeisen 35 vuoden aikana, lisäksi levinneisyysalue on pienentynyt ja kanta harventunut erityisesti keskisessä Suomessa ja Lapissa (</w:t>
      </w:r>
      <w:r>
        <w:rPr>
          <w:rStyle w:val="SubtleEmphasis"/>
        </w:rPr>
        <w:t>Björklund ym. 2018, Valkama ym. 2011</w:t>
      </w:r>
      <w:r>
        <w:rPr/>
        <w:t>). Haliaksen havaintomäärät eivät ole pudonneet samalla nopeudella kuin laji on ilmeisesti taantunut Suomessa. Todennäköisesti aseman kautta muuttaa lintuja Suomea laajemmalta alueelta, jolloin myös aseman havaintomäärät kertovat laajemmasta kannankehityksestä. Lievä lasku havaintomäärissä todennäköisesti tukee Suomen pesimäkannan tilannetta, lisäksi lajin on havaittu harvinaistuvan laajemmin ja maailmankannan on todettu taantuvan (</w:t>
      </w:r>
      <w:r>
        <w:rPr>
          <w:rStyle w:val="SubtleEmphasis"/>
        </w:rPr>
        <w:t>BirdLife International 2018</w:t>
      </w:r>
      <w:r>
        <w:rPr/>
        <w:t>). Haliaksen aineisto on tärkeää Suomea laajemmalla alueella pesivän populaation seurannassa, erityisesti niiltä alueilta tulevien lintujen, joita ei seurata pesimäpaikoilla.</w:t>
      </w:r>
    </w:p>
    <w:p>
      <w:pPr>
        <w:pStyle w:val="NoSpacing"/>
        <w:rPr/>
      </w:pPr>
      <w:r>
        <w:rPr/>
      </w:r>
    </w:p>
    <w:p>
      <w:pPr>
        <w:pStyle w:val="NoSpacing"/>
        <w:rPr/>
      </w:pPr>
      <w:r>
        <w:rPr/>
      </w:r>
    </w:p>
    <w:p>
      <w:pPr>
        <w:pStyle w:val="Heading3"/>
        <w:rPr/>
      </w:pPr>
      <w:r>
        <w:rPr/>
        <w:t>Kirjallisuus</w:t>
      </w:r>
    </w:p>
    <w:p>
      <w:pPr>
        <w:pStyle w:val="Endnote"/>
        <w:rPr/>
      </w:pPr>
      <w:r>
        <w:rPr/>
      </w:r>
    </w:p>
    <w:p>
      <w:pPr>
        <w:pStyle w:val="Endnote"/>
        <w:rPr/>
      </w:pPr>
      <w:r>
        <w:rPr/>
        <w:t xml:space="preserve">BirdLife International (2018) Species factsheet: </w:t>
      </w:r>
      <w:r>
        <w:rPr>
          <w:i/>
        </w:rPr>
        <w:t>Circus cyaneus</w:t>
      </w:r>
      <w:r>
        <w:rPr/>
        <w:t>. &lt;</w:t>
      </w:r>
      <w:hyperlink r:id="rId2">
        <w:r>
          <w:rPr>
            <w:rStyle w:val="ListLabel1"/>
          </w:rPr>
          <w:t>http://datazone.birdlife.org/species/factsheet/hen-harrier-circus-cyaneus</w:t>
        </w:r>
      </w:hyperlink>
      <w:r>
        <w:rPr/>
        <w:t>&gt; Viitattu 15.11.2018</w:t>
      </w:r>
    </w:p>
    <w:p>
      <w:pPr>
        <w:pStyle w:val="Endnote"/>
        <w:rPr/>
      </w:pPr>
      <w:r>
        <w:rPr/>
      </w:r>
    </w:p>
    <w:p>
      <w:pPr>
        <w:pStyle w:val="Endnote"/>
        <w:rPr/>
      </w:pPr>
      <w:r>
        <w:rPr/>
        <w:t>Björklund, H., Saurola, P. &amp; Valkama, J. 2018: Kolea kevät koitteli petolintuja. — Linnut-vuosikirja 2017. 55–69.</w:t>
      </w:r>
    </w:p>
    <w:p>
      <w:pPr>
        <w:pStyle w:val="Endnote"/>
        <w:rPr/>
      </w:pPr>
      <w:r>
        <w:rPr/>
      </w:r>
    </w:p>
    <w:p>
      <w:pPr>
        <w:pStyle w:val="Endnote"/>
        <w:suppressLineNumbers/>
        <w:spacing w:before="0" w:after="160"/>
        <w:ind w:left="339" w:hanging="339"/>
        <w:rPr/>
      </w:pPr>
      <w:r>
        <w:rPr/>
        <w:t>Valkama, J., Vepsäläinen, V. &amp; Lehikoinen, A. 2011: Suomen III Lintuatlas. – Luonnontieteellinen keskusmuseo ja ympäristöministeriö. &lt;http://atlas3.lintuatlas.fi&gt; Viitattu 15.11.2018. ISBN 978-952-10-6918-5.</w:t>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hen-harrier-circus-cyane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LibreOffice/6.1.3.2$Linux_X86_64 LibreOffice_project/10$Build-2</Application>
  <Pages>2</Pages>
  <Words>287</Words>
  <Characters>2453</Characters>
  <CharactersWithSpaces>2730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2019-01-09T14:01:00Z</dcterms:created>
  <dc:creator>AkiAi</dc:creator>
  <dc:description/>
  <dc:language>en-US</dc:language>
  <cp:lastModifiedBy>Joona Lehtomäki</cp:lastModifiedBy>
  <dcterms:modified xsi:type="dcterms:W3CDTF">2019-01-16T21:00:20Z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