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Kurki</w:t>
      </w:r>
    </w:p>
    <w:p>
      <w:pPr>
        <w:pStyle w:val="Heading2"/>
        <w:rPr>
          <w:lang w:val="en-US"/>
        </w:rPr>
      </w:pPr>
      <w:r>
        <w:rPr>
          <w:lang w:val="en-US"/>
        </w:rPr>
        <w:t>Trana</w:t>
      </w:r>
    </w:p>
    <w:p>
      <w:pPr>
        <w:pStyle w:val="Heading2"/>
        <w:rPr>
          <w:i/>
          <w:i/>
          <w:lang w:val="en-US"/>
        </w:rPr>
      </w:pPr>
      <w:r>
        <w:rPr>
          <w:i/>
          <w:lang w:val="en-US"/>
        </w:rPr>
        <w:t>Grus grus</w:t>
      </w:r>
    </w:p>
    <w:p>
      <w:pPr>
        <w:pStyle w:val="Heading2"/>
        <w:rPr>
          <w:lang w:val="en-US"/>
        </w:rPr>
      </w:pPr>
      <w:r>
        <w:rPr>
          <w:lang w:val="en-US"/>
        </w:rPr>
        <w:t>Common Crane</w:t>
      </w:r>
    </w:p>
    <w:p>
      <w:pPr>
        <w:pStyle w:val="NoSpacing"/>
        <w:rPr>
          <w:lang w:val="en-US"/>
        </w:rPr>
      </w:pPr>
      <w:r>
        <w:rPr>
          <w:lang w:val="en-US"/>
        </w:rPr>
      </w:r>
    </w:p>
    <w:p>
      <w:pPr>
        <w:pStyle w:val="NoSpacing"/>
        <w:rPr>
          <w:lang w:val="en-US"/>
        </w:rPr>
      </w:pPr>
      <w:r>
        <w:rPr>
          <w:lang w:val="en-US"/>
        </w:rPr>
      </w:r>
    </w:p>
    <w:p>
      <w:pPr>
        <w:pStyle w:val="Heading3"/>
        <w:rPr>
          <w:lang w:val="en-US"/>
        </w:rPr>
      </w:pPr>
      <w:r>
        <w:rPr/>
        <w:t>Yleisesiintyminen</w:t>
      </w:r>
    </w:p>
    <w:p>
      <w:pPr>
        <w:pStyle w:val="NoSpacing"/>
        <w:rPr>
          <w:lang w:val="en-US"/>
        </w:rPr>
      </w:pPr>
      <w:r>
        <w:rPr>
          <w:lang w:val="en-US"/>
        </w:rPr>
      </w:r>
    </w:p>
    <w:p>
      <w:pPr>
        <w:pStyle w:val="NoSpacing"/>
        <w:rPr/>
      </w:pPr>
      <w:r>
        <w:rPr/>
        <w:t>Kurjen levinneisyysalue ulottuu laajana vyöhykkeenä Fennoskandiasta ja Itä-Euroopasta Keski-Aasiaan ja itäiselle Venäjälle. Tärkeimmät talvehtimisalueet ovat Välimeren länsiosissa, Itä-Afrikassa, Lähi-idässä, Intiassa ja Kiinan eteläosissa (</w:t>
      </w:r>
      <w:r>
        <w:rPr>
          <w:rStyle w:val="SubtleEmphasis"/>
        </w:rPr>
        <w:t>BirdLife International 2018</w:t>
      </w:r>
      <w:r>
        <w:rPr/>
        <w:t>). Suomessa kurki pesii lähes koko maassa, ja puuttuu lähinnä tunturi-Lapista sekä ulkosaaristovyöhykkeeltä. Suoalueiden ja rehevien rantaluhtien lisäksi kurki pesii pienemmilläkin kosteikkoalueilla, ja jopa hakkuuaukoilla. Vuonna 2011 Suomen pesimäkannaksi arvioitiin 30 000 – 40 000 paria (</w:t>
      </w:r>
      <w:r>
        <w:rPr>
          <w:rStyle w:val="SubtleEmphasis"/>
        </w:rPr>
        <w:t>Valkama ym. 2011</w:t>
      </w:r>
      <w:r>
        <w:rPr/>
        <w:t xml:space="preserve">). </w:t>
      </w:r>
    </w:p>
    <w:p>
      <w:pPr>
        <w:pStyle w:val="NoSpacing"/>
        <w:rPr/>
      </w:pPr>
      <w:r>
        <w:rPr/>
      </w:r>
    </w:p>
    <w:p>
      <w:pPr>
        <w:pStyle w:val="NoSpacing"/>
        <w:rPr/>
      </w:pPr>
      <w:r>
        <w:rPr/>
        <w:t>Hangon lintuasema on tunnettu näyttävistä kurkimuutoistaan. Ensimmäisiä muuttajia nähdään jo maaliskuun puolivälin jälkeen, ja maalis-huhtikuun vaihteessa havaitaan jo useiden satojen lintujen päiväsummia. Kurkien kevätmuutto huipentuu huhtikuun puoliväliin tai loppupuoliskolle, ja useiden tuhansien kurkien päiväsummia on havaittu useina keväinä. Kesäaikaan kurkia havaitaan Haliaksella hyvin harvoin. Syysmuutto käynnistyy elokuun lopussa ja päämuutto havaitaan usein syyskuun puolivälissä tai loppupuoliskolla. Asemalta on laskettu useampi yli kymmenen tuhannen kurjen päivämuutto. Useiden tuhansien yksilöiden päiväsummia voi nähdä vielä lokakuun alkupuoliskolla, ja lokakuun loppuun mennessä syysmuutto on jo ohi.</w:t>
      </w:r>
    </w:p>
    <w:p>
      <w:pPr>
        <w:pStyle w:val="NoSpacing"/>
        <w:rPr/>
      </w:pPr>
      <w:r>
        <w:rPr/>
      </w:r>
    </w:p>
    <w:p>
      <w:pPr>
        <w:pStyle w:val="NoSpacing"/>
        <w:rPr/>
      </w:pPr>
      <w:r>
        <w:rPr/>
      </w:r>
    </w:p>
    <w:p>
      <w:pPr>
        <w:pStyle w:val="Heading3"/>
        <w:rPr/>
      </w:pPr>
      <w:r>
        <w:rPr/>
        <w:t>Pitkäaikaismuutokset</w:t>
      </w:r>
    </w:p>
    <w:p>
      <w:pPr>
        <w:pStyle w:val="NoSpacing"/>
        <w:rPr/>
      </w:pPr>
      <w:r>
        <w:rPr/>
      </w:r>
    </w:p>
    <w:p>
      <w:pPr>
        <w:pStyle w:val="NoSpacing"/>
        <w:rPr/>
      </w:pPr>
      <w:r>
        <w:rPr/>
        <w:t>Kurjen runsastuminen on ollut hurjaa, Haliaksen kurkimäärät ovat seurantajakson aikana kasvaneet yli kahdeksankertaisiksi. Havaintomäärät vastaavat Suomen pesimäkannan kasvua (</w:t>
      </w:r>
      <w:r>
        <w:rPr>
          <w:rStyle w:val="SubtleEmphasis"/>
        </w:rPr>
        <w:t>Väisänen ym. 2018, Valkama ym. 2011</w:t>
      </w:r>
      <w:r>
        <w:rPr/>
        <w:t>). Kannankasvun myötä kurjen levinneisyysalue on levittäytynyt pohjoisempaan sekä tiivistynyt mm. Pirkanmaalla, Savossa ja Kainuussa. Kurkien määrät ovat kasvussa myös suomalaisten lintujen päätalvehtimisalueilla Iberian niemimaalla ja Itä-Afrikassa (</w:t>
      </w:r>
      <w:r>
        <w:rPr>
          <w:rStyle w:val="SubtleEmphasis"/>
        </w:rPr>
        <w:t>Wetlands International 2018</w:t>
      </w:r>
      <w:r>
        <w:rPr/>
        <w:t xml:space="preserve">). </w:t>
      </w:r>
    </w:p>
    <w:p>
      <w:pPr>
        <w:pStyle w:val="NoSpacing"/>
        <w:rPr/>
      </w:pPr>
      <w:r>
        <w:rPr/>
      </w:r>
    </w:p>
    <w:p>
      <w:pPr>
        <w:pStyle w:val="NoSpacing"/>
        <w:rPr/>
      </w:pPr>
      <w:r>
        <w:rPr/>
        <w:t>Haliaksen kautta muuttaa laajalla alueella Länsi-, Keski- ja Pohjois-Suomessa pesiviä kurkia, lisäksi todennäköisesti osa pohjoisen Ruotsin pesimäkannasta. Nämä kurjet noudattavat pesimäkantamme keskistä ja läntistä muuttoreittiä: linnut levähtävät mm. Unkarissa, ja talvehtivat Luoteis-Afrikassa ja Iberian niemimaalla. Itä-Suomessa pesivät ja Itä-Afrikassa talvehtivat suosivat itäisempiä muuttoreittejä (</w:t>
      </w:r>
      <w:r>
        <w:rPr>
          <w:rStyle w:val="SubtleEmphasis"/>
        </w:rPr>
        <w:t>Valkama ym. 2013</w:t>
      </w:r>
      <w:r>
        <w:rPr/>
        <w:t>). Suurikokoisena lintuna kurki suosii muuttosuunnan myötäisiä tuulia, joskin alueelliset erot tuuliolosuhteissa vaikuttavat siihen, miten muutto ohjautuu – mm. tuuliolosuhteiden vaihtelut selittävät kurkimäärien vuosien välistä vaihtelua. Hangossa voimakkaimmat syksyiset kurkimuutot havaitaan luoteis- ja koillistuulilla, ja Haliaksella kerättyä kurkiaineistoa on käytetty visuaalisena esimerkkinä sääaineiston ja muuttoaineiston yhdistämisestä kertovassa julkaisussa (</w:t>
      </w:r>
      <w:r>
        <w:rPr>
          <w:rStyle w:val="SubtleEmphasis"/>
        </w:rPr>
        <w:t>Koho ym. 2014</w:t>
      </w:r>
      <w:r>
        <w:rPr/>
        <w:t>).</w:t>
      </w:r>
    </w:p>
    <w:p>
      <w:pPr>
        <w:pStyle w:val="NoSpacing"/>
        <w:rPr/>
      </w:pPr>
      <w:r>
        <w:rPr/>
      </w:r>
    </w:p>
    <w:p>
      <w:pPr>
        <w:pStyle w:val="NoSpacing"/>
        <w:rPr/>
      </w:pPr>
      <w:r>
        <w:rPr/>
      </w:r>
    </w:p>
    <w:p>
      <w:pPr>
        <w:pStyle w:val="Heading3"/>
        <w:rPr>
          <w:lang w:val="en-US"/>
        </w:rPr>
      </w:pPr>
      <w:r>
        <w:rPr/>
        <w:t>Kirjallisuus</w:t>
      </w:r>
    </w:p>
    <w:p>
      <w:pPr>
        <w:pStyle w:val="NoSpacing"/>
        <w:rPr>
          <w:lang w:val="en-US"/>
        </w:rPr>
      </w:pPr>
      <w:r>
        <w:rPr>
          <w:lang w:val="en-US"/>
        </w:rPr>
      </w:r>
    </w:p>
    <w:p>
      <w:pPr>
        <w:pStyle w:val="Endnote"/>
        <w:rPr>
          <w:lang w:val="en-US"/>
        </w:rPr>
      </w:pPr>
      <w:r>
        <w:rPr>
          <w:lang w:val="en-US"/>
        </w:rPr>
        <w:t xml:space="preserve">BirdLife International (2018) Species factsheet: </w:t>
      </w:r>
      <w:r>
        <w:rPr>
          <w:i/>
          <w:lang w:val="en-US"/>
        </w:rPr>
        <w:t>Grus grus</w:t>
      </w:r>
      <w:r>
        <w:rPr>
          <w:lang w:val="en-US"/>
        </w:rPr>
        <w:t>.</w:t>
      </w:r>
    </w:p>
    <w:p>
      <w:pPr>
        <w:pStyle w:val="Endnote"/>
        <w:rPr/>
      </w:pPr>
      <w:r>
        <w:rPr>
          <w:rStyle w:val="InternetLink"/>
          <w:color w:val="auto"/>
          <w:u w:val="none"/>
          <w:lang w:val="en-US"/>
        </w:rPr>
        <w:t>&lt;</w:t>
      </w:r>
      <w:hyperlink r:id="rId2">
        <w:r>
          <w:rPr>
            <w:rStyle w:val="InternetLink"/>
            <w:color w:val="auto"/>
            <w:u w:val="none"/>
            <w:lang w:val="en-US"/>
          </w:rPr>
          <w:t>http://datazone.birdlife.org/species/factsheet/common-crane-grus-grus</w:t>
        </w:r>
      </w:hyperlink>
      <w:r>
        <w:rPr>
          <w:rStyle w:val="InternetLink"/>
          <w:color w:val="auto"/>
          <w:u w:val="none"/>
          <w:lang w:val="en-US"/>
        </w:rPr>
        <w:t>&gt;</w:t>
      </w:r>
      <w:r>
        <w:rPr>
          <w:lang w:val="en-US"/>
        </w:rPr>
        <w:t xml:space="preserve"> Viitattu 19.11.2018</w:t>
      </w:r>
    </w:p>
    <w:p>
      <w:pPr>
        <w:pStyle w:val="Endnote"/>
        <w:rPr/>
      </w:pPr>
      <w:r>
        <w:rPr/>
      </w:r>
    </w:p>
    <w:p>
      <w:pPr>
        <w:pStyle w:val="Endnote"/>
        <w:rPr>
          <w:lang w:val="en-US"/>
        </w:rPr>
      </w:pPr>
      <w:r>
        <w:rPr/>
        <w:t>Koho, M., Lehikoinen, A. &amp; Hyvönen, E. 2014: Ornithology based on linking bird observations with weather data. — SePublica 1155.</w:t>
      </w:r>
    </w:p>
    <w:p>
      <w:pPr>
        <w:pStyle w:val="Endnote"/>
        <w:rPr/>
      </w:pPr>
      <w:r>
        <w:rPr/>
      </w:r>
    </w:p>
    <w:p>
      <w:pPr>
        <w:pStyle w:val="Endnote"/>
        <w:rPr/>
      </w:pPr>
      <w:r>
        <w:rPr/>
        <w:t>Valkama, J., Vepsäläinen, V. &amp; Lehikoinen, A. 2011: Suomen III Lintuatlas. – Luonnontieteellinen keskusmuseo ja ympäristöministeriö. &lt;http://atlas3.lintuatlas.fi&gt; Viitattu 19.11.2018. ISBN 978-952-10-6918-5.</w:t>
      </w:r>
    </w:p>
    <w:p>
      <w:pPr>
        <w:pStyle w:val="Endnote"/>
        <w:rPr/>
      </w:pPr>
      <w:r>
        <w:rPr/>
      </w:r>
    </w:p>
    <w:p>
      <w:pPr>
        <w:pStyle w:val="Endnote"/>
        <w:rPr/>
      </w:pPr>
      <w:r>
        <w:rPr/>
        <w:t>Väisänen, R. A., Lehikoinen, A. &amp; Sirkiä, P. 2018: Suomen pesivän maalinnuston kannanvaihtelut 1975-2017. — Linnut-vuosikirja 2017:16-31.</w:t>
      </w:r>
    </w:p>
    <w:p>
      <w:pPr>
        <w:pStyle w:val="Endnote"/>
        <w:rPr/>
      </w:pPr>
      <w:r>
        <w:rPr/>
      </w:r>
    </w:p>
    <w:p>
      <w:pPr>
        <w:pStyle w:val="Endnote"/>
        <w:rPr/>
      </w:pPr>
      <w:r>
        <w:rPr>
          <w:lang w:val="en-US"/>
        </w:rPr>
        <w:t xml:space="preserve">Wetlands International (2018). "Waterbird Population Estimates". </w:t>
      </w:r>
      <w:r>
        <w:rPr/>
        <w:t>&lt;wpe.wetlands.org&gt; Viitattu 20.11.2018</w:t>
      </w:r>
    </w:p>
    <w:p>
      <w:pPr>
        <w:pStyle w:val="NoSpacing"/>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ListLabel1">
    <w:name w:val="ListLabel 1"/>
    <w:qFormat/>
    <w:rPr>
      <w:color w:val="auto"/>
      <w:u w:val="none"/>
      <w:lang w:val="en-U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common-crane-grus-gr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LibreOffice/6.1.3.2$Linux_X86_64 LibreOffice_project/10$Build-2</Application>
  <Pages>2</Pages>
  <Words>376</Words>
  <Characters>3138</Characters>
  <CharactersWithSpaces>3504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2019-01-09T14:38:00Z</dcterms:created>
  <dc:creator>AkiAi</dc:creator>
  <dc:description/>
  <dc:language>en-US</dc:language>
  <cp:lastModifiedBy>Joona Lehtomäki</cp:lastModifiedBy>
  <dcterms:modified xsi:type="dcterms:W3CDTF">2019-01-16T21:06:07Z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