
<file path=[Content_Types].xml><?xml version="1.0" encoding="utf-8"?>
<Types xmlns="http://schemas.openxmlformats.org/package/2006/content-types">
  <Default Extension="png" ContentType="image/png"/>
  <Default Extension="jpg" ContentType="image/jpeg"/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word/document.xml" ContentType="application/vnd.openxmlformats-officedocument.wordprocessingml.document.main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0" Type="http://schemas.openxmlformats.org/officeDocument/2006/relationships/officeDocument" Target="word/document.xml" /><Relationship Id="rId1" Type="http://schemas.openxmlformats.org/package/2006/relationships/metadata/core-properties" Target="docProps/core.xml" /></Relationships>
</file>

<file path=word/document.xml><?xml version="1.0" encoding="utf-8"?>
<w:document xmlns:pic="http://schemas.openxmlformats.org/drawingml/2006/picture" xmlns:wp="http://schemas.openxmlformats.org/drawingml/2006/wordprocessingDrawing" xmlns:a="http://schemas.openxmlformats.org/drawingml/2006/main" xmlns:w="http://schemas.openxmlformats.org/wordprocessingml/2006/main" xmlns:r="http://schemas.openxmlformats.org/officeDocument/2006/relationships">
  <w:body>
    <w:p>
      <w:pPr>
        <w:pStyle w:val="ahkdxm"/>
        <w:numPr/>
        <w:pBdr/>
        <w:jc w:val="left"/>
        <w:rPr/>
      </w:pPr>
      <w:r>
        <w:rPr/>
        <w:t>风险相关核心内容</w:t>
      </w:r>
    </w:p>
    <w:p>
      <w:pPr>
        <w:pStyle w:val="zsluon"/>
        <w:rPr/>
      </w:pPr>
      <w:r>
        <w:rPr/>
        <w:t>CR风险评级规则</w:t>
      </w:r>
    </w:p>
    <w:p>
      <w:pPr>
        <w:numPr/>
        <w:pBdr/>
        <w:rPr/>
      </w:pPr>
      <w:r>
        <w:rPr/>
        <w:drawing>
          <wp:inline distT="0" distB="0" distL="0" distR="0">
            <wp:extent cx="5760720" cy="1645406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4"/>
                    <a:stretch/>
                  </pic:blipFill>
                  <pic:spPr>
                    <a:xfrm>
                      <a:off x="0" y="0"/>
                      <a:ext cx="5760720" cy="164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sluon"/>
        <w:pBdr/>
        <w:rPr/>
      </w:pPr>
      <w:r>
        <w:rPr/>
        <w:t>CR风险和测试流程的关系</w:t>
      </w:r>
    </w:p>
    <w:p>
      <w:pPr>
        <w:numPr/>
        <w:pBdr/>
        <w:snapToGrid/>
        <w:spacing w:before="0" w:after="0" w:line="360"/>
        <w:ind w:left="0"/>
        <w:jc w:val="left"/>
        <w:rPr>
          <w:rFonts w:ascii="微软雅黑" w:hAnsi="微软雅黑" w:eastAsia="微软雅黑" w:cs="微软雅黑"/>
          <w:strike w:val="false"/>
          <w:color w:val="000000"/>
          <w:sz w:val="22"/>
        </w:rPr>
      </w:pPr>
      <w:r>
        <w:rPr>
          <w:rFonts w:ascii="微软雅黑" w:hAnsi="微软雅黑" w:eastAsia="微软雅黑" w:cs="微软雅黑"/>
          <w:strike w:val="false"/>
          <w:color w:val="000000"/>
          <w:sz w:val="22"/>
        </w:rPr>
        <w:t>初始为未识别，风险等级确定后自动带出测试流程：</w:t>
      </w:r>
    </w:p>
    <w:p>
      <w:pPr>
        <w:numPr>
          <w:ilvl w:val="0"/>
          <w:numId w:val="1"/>
        </w:numPr>
        <w:pBdr/>
        <w:snapToGrid/>
        <w:spacing w:before="0" w:after="0" w:line="360"/>
        <w:ind/>
        <w:rPr>
          <w:rFonts w:ascii="微软雅黑" w:hAnsi="微软雅黑" w:eastAsia="微软雅黑" w:cs="微软雅黑"/>
          <w:strike w:val="false"/>
          <w:color w:val="000000"/>
          <w:sz w:val="22"/>
        </w:rPr>
      </w:pPr>
      <w:r>
        <w:rPr>
          <w:rFonts w:ascii="微软雅黑" w:hAnsi="微软雅黑" w:eastAsia="微软雅黑" w:cs="微软雅黑"/>
          <w:strike w:val="false"/>
          <w:color w:val="000000"/>
          <w:sz w:val="22"/>
        </w:rPr>
        <w:t>高风险→强化流程</w:t>
      </w:r>
    </w:p>
    <w:p>
      <w:pPr>
        <w:numPr>
          <w:ilvl w:val="0"/>
          <w:numId w:val="1"/>
        </w:numPr>
        <w:pBdr/>
        <w:snapToGrid/>
        <w:spacing w:before="0" w:after="0" w:line="360"/>
        <w:ind/>
        <w:rPr>
          <w:rFonts w:ascii="微软雅黑" w:hAnsi="微软雅黑" w:eastAsia="微软雅黑" w:cs="微软雅黑"/>
          <w:strike w:val="false"/>
          <w:color w:val="000000"/>
          <w:sz w:val="22"/>
        </w:rPr>
      </w:pPr>
      <w:r>
        <w:rPr>
          <w:rFonts w:ascii="微软雅黑" w:hAnsi="微软雅黑" w:eastAsia="微软雅黑" w:cs="微软雅黑"/>
          <w:strike w:val="false"/>
          <w:color w:val="000000"/>
          <w:sz w:val="22"/>
        </w:rPr>
        <w:t>中风险→常规流程</w:t>
      </w:r>
    </w:p>
    <w:p>
      <w:pPr>
        <w:numPr>
          <w:ilvl w:val="0"/>
          <w:numId w:val="1"/>
        </w:numPr>
        <w:pBdr/>
        <w:snapToGrid/>
        <w:spacing w:before="0" w:after="0" w:line="360"/>
        <w:ind/>
        <w:rPr>
          <w:rFonts w:ascii="微软雅黑" w:hAnsi="微软雅黑" w:eastAsia="微软雅黑" w:cs="微软雅黑"/>
          <w:strike w:val="false"/>
          <w:color w:val="000000"/>
          <w:sz w:val="22"/>
        </w:rPr>
      </w:pPr>
      <w:r>
        <w:rPr>
          <w:rFonts w:ascii="微软雅黑" w:hAnsi="微软雅黑" w:eastAsia="微软雅黑" w:cs="微软雅黑"/>
          <w:strike w:val="false"/>
          <w:color w:val="000000"/>
          <w:sz w:val="22"/>
        </w:rPr>
        <w:t>低风险→轻量流程</w:t>
      </w:r>
    </w:p>
    <w:p>
      <w:pPr>
        <w:pBdr/>
        <w:snapToGrid/>
        <w:spacing w:before="0" w:after="0" w:line="360"/>
        <w:ind w:left="0"/>
        <w:rPr>
          <w:rFonts w:ascii="微软雅黑" w:hAnsi="微软雅黑" w:eastAsia="微软雅黑" w:cs="微软雅黑"/>
          <w:strike w:val="false"/>
          <w:color w:val="000000"/>
          <w:sz w:val="22"/>
        </w:rPr>
      </w:pPr>
      <w:r>
        <w:rPr>
          <w:rFonts w:ascii="微软雅黑" w:hAnsi="微软雅黑" w:eastAsia="微软雅黑" w:cs="微软雅黑"/>
          <w:strike w:val="false"/>
          <w:color w:val="000000"/>
          <w:sz w:val="22"/>
        </w:rPr>
        <w:t>CR启动测试前可以进行测试流程变更，变更规则如下：</w:t>
      </w:r>
    </w:p>
    <w:p>
      <w:pPr>
        <w:pBdr/>
        <w:snapToGrid/>
        <w:spacing w:before="0" w:after="0" w:line="360"/>
        <w:ind w:left="0"/>
        <w:rPr>
          <w:rFonts w:ascii="微软雅黑" w:hAnsi="微软雅黑" w:eastAsia="微软雅黑" w:cs="微软雅黑"/>
          <w:strike w:val="false"/>
          <w:color w:val="000000"/>
          <w:sz w:val="22"/>
        </w:rPr>
      </w:pPr>
      <w:r>
        <w:rPr>
          <w:rFonts w:ascii="微软雅黑" w:hAnsi="微软雅黑" w:eastAsia="微软雅黑" w:cs="微软雅黑"/>
          <w:strike w:val="false"/>
          <w:color w:val="000000"/>
          <w:sz w:val="22"/>
        </w:rPr>
        <w:t>当风险级别有数据后</w:t>
      </w:r>
    </w:p>
    <w:p>
      <w:pPr>
        <w:numPr>
          <w:ilvl w:val="0"/>
          <w:numId w:val="2"/>
        </w:numPr>
        <w:pBdr/>
        <w:snapToGrid/>
        <w:spacing w:before="0" w:after="0" w:line="360"/>
        <w:ind/>
        <w:rPr>
          <w:rFonts w:ascii="微软雅黑" w:hAnsi="微软雅黑" w:eastAsia="微软雅黑" w:cs="微软雅黑"/>
          <w:strike w:val="false"/>
          <w:color w:val="000000"/>
          <w:sz w:val="22"/>
        </w:rPr>
      </w:pPr>
      <w:r>
        <w:rPr>
          <w:rFonts w:ascii="微软雅黑" w:hAnsi="微软雅黑" w:eastAsia="微软雅黑" w:cs="微软雅黑"/>
          <w:strike w:val="false"/>
          <w:color w:val="000000"/>
          <w:sz w:val="22"/>
        </w:rPr>
        <w:t>测试流程（必填）：带出所有测试流程选项。</w:t>
      </w:r>
    </w:p>
    <w:p>
      <w:pPr>
        <w:numPr>
          <w:ilvl w:val="0"/>
          <w:numId w:val="2"/>
        </w:numPr>
        <w:pBdr>
          <w:bottom/>
        </w:pBdr>
        <w:snapToGrid/>
        <w:spacing w:before="0" w:after="0" w:line="360"/>
        <w:ind/>
        <w:rPr>
          <w:rFonts w:ascii="微软雅黑" w:hAnsi="微软雅黑" w:eastAsia="微软雅黑" w:cs="微软雅黑"/>
          <w:strike w:val="false"/>
          <w:color w:val="000000"/>
          <w:sz w:val="22"/>
        </w:rPr>
      </w:pPr>
      <w:r>
        <w:rPr>
          <w:rFonts w:ascii="微软雅黑" w:hAnsi="微软雅黑" w:eastAsia="微软雅黑" w:cs="微软雅黑"/>
          <w:strike w:val="false"/>
          <w:color w:val="000000"/>
          <w:sz w:val="22"/>
        </w:rPr>
        <w:t>变更说明（必填）：填写后，若系统默认流程 不等于 变更后的流程，则在流程名称颜色变更为红色，且鼠标悬浮变为</w:t>
      </w:r>
      <w:r>
        <w:rPr/>
        <w:drawing>
          <wp:inline distT="0" distB="0" distL="0" distR="0">
            <wp:extent cx="304800" cy="304800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5"/>
                    <a:srcRect l="0" t="0" r="0" b="0"/>
                    <a:stretch/>
                  </pic:blipFill>
                  <pic:spPr>
                    <a:xfrm rot="0">
                      <a:off x="0" y="0"/>
                      <a:ext cx="30480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trike w:val="false"/>
          <w:color w:val="000000"/>
          <w:sz w:val="22"/>
        </w:rPr>
        <w:t>，并显示变更信息浮窗</w:t>
      </w:r>
    </w:p>
    <w:p>
      <w:pPr>
        <w:pStyle w:val="zsluon"/>
        <w:pBdr/>
        <w:rPr/>
      </w:pPr>
      <w:r>
        <w:rPr/>
        <w:t>测试流程裁剪规则</w:t>
      </w:r>
    </w:p>
    <w:p>
      <w:pPr>
        <w:pStyle w:val="shjalb"/>
        <w:numPr>
          <w:ilvl w:val="0"/>
          <w:numId w:val="3"/>
        </w:numPr>
        <w:pBdr/>
        <w:rPr>
          <w:b/>
        </w:rPr>
      </w:pPr>
      <w:r>
        <w:rPr>
          <w:b/>
        </w:rPr>
        <w:t>轻量流程：</w:t>
      </w:r>
    </w:p>
    <w:p>
      <w:pPr>
        <w:pStyle w:val="shjalb"/>
        <w:pBdr/>
        <w:rPr/>
      </w:pPr>
      <w:r>
        <w:rPr/>
        <w:t>SIT阶段：测试需求分析与设计、测试案例编写、测试测试案例、测试用例执行、测试报告编写、测试报告评审。</w:t>
      </w:r>
      <w:r>
        <w:rPr>
          <w:color w:val="FF0000"/>
        </w:rPr>
        <w:t>（SIT阶段及SIT阶段下所有活动均可裁剪。）</w:t>
      </w:r>
    </w:p>
    <w:p>
      <w:pPr>
        <w:pStyle w:val="shjalb"/>
        <w:pBdr/>
        <w:rPr/>
      </w:pPr>
      <w:r>
        <w:rPr/>
        <w:t>UAT阶段：测试需求分析与设计</w:t>
      </w:r>
      <w:r>
        <w:rPr>
          <w:color w:val="FF0000"/>
        </w:rPr>
        <w:t>（可裁剪）</w:t>
      </w:r>
      <w:r>
        <w:rPr/>
        <w:t>、测试案例编写、测试用例执行、测试报告编写、测试报告评审</w:t>
      </w:r>
    </w:p>
    <w:p>
      <w:pPr>
        <w:pStyle w:val="shjalb"/>
        <w:numPr>
          <w:ilvl w:val="0"/>
          <w:numId w:val="3"/>
        </w:numPr>
        <w:pBdr/>
        <w:ind/>
        <w:rPr>
          <w:b/>
        </w:rPr>
      </w:pPr>
      <w:r>
        <w:rPr>
          <w:b/>
        </w:rPr>
        <w:t>常规流程：</w:t>
      </w:r>
    </w:p>
    <w:p>
      <w:pPr>
        <w:pStyle w:val="shjalb"/>
        <w:numPr/>
        <w:pBdr/>
        <w:rPr/>
      </w:pPr>
      <w:r>
        <w:rPr/>
        <w:t>SIT阶段：测试需求分析与设计</w:t>
      </w:r>
      <w:r>
        <w:rPr>
          <w:color w:val="FF0000"/>
        </w:rPr>
        <w:t>（可裁剪）</w:t>
      </w:r>
      <w:r>
        <w:rPr/>
        <w:t>、测试案例编写、测试测试案例、测试用例执行、测试报告编写、测试报告评审。</w:t>
      </w:r>
    </w:p>
    <w:p>
      <w:pPr>
        <w:pStyle w:val="shjalb"/>
        <w:numPr/>
        <w:pBdr/>
        <w:rPr/>
      </w:pPr>
      <w:r>
        <w:rPr/>
        <w:t>UAT阶段：测试需求分析与设计、测试案例编写、测试用例执行、测试报告编写、测试报告评审</w:t>
      </w:r>
    </w:p>
    <w:p>
      <w:pPr>
        <w:pStyle w:val="shjalb"/>
        <w:numPr>
          <w:ilvl w:val="0"/>
          <w:numId w:val="4"/>
        </w:numPr>
        <w:pBdr/>
        <w:rPr>
          <w:b/>
        </w:rPr>
      </w:pPr>
      <w:r>
        <w:rPr>
          <w:b/>
        </w:rPr>
        <w:t>强化流程：所有活动均不可裁剪</w:t>
      </w:r>
    </w:p>
    <w:p>
      <w:pPr>
        <w:pStyle w:val="shjalb"/>
        <w:numPr/>
        <w:pBdr/>
        <w:rPr/>
      </w:pPr>
      <w:r>
        <w:rPr/>
        <w:t>SIT阶段：测试需求分析与设计、测试案例编写、测试测试案例、测试用例执行、测试报告编写、测试报告评审。</w:t>
      </w:r>
    </w:p>
    <w:p>
      <w:pPr>
        <w:pStyle w:val="shjalb"/>
        <w:numPr/>
        <w:pBdr>
          <w:bottom/>
        </w:pBdr>
        <w:rPr/>
      </w:pPr>
      <w:r>
        <w:rPr/>
        <w:t>UAT阶段：测试需求分析与设计、测试案例编写、测试用例执行、测试报告编写、测试报告评审</w:t>
      </w:r>
    </w:p>
    <w:p>
      <w:pPr>
        <w:pStyle w:val="zsluon"/>
        <w:pBdr/>
        <w:rPr/>
      </w:pPr>
      <w:r>
        <w:rPr/>
        <w:t>风险管理全流程</w:t>
      </w:r>
    </w:p>
    <w:p>
      <w:pPr>
        <w:pStyle w:val="shjalb"/>
        <w:pBdr/>
        <w:rPr/>
      </w:pPr>
      <w:r>
        <w:rPr/>
        <w:drawing>
          <wp:inline distT="0" distB="0" distL="0" distR="0">
            <wp:extent cx="5760720" cy="4073687"/>
            <wp:effectExtent l="0" t="0" r="0" b="0"/>
            <wp:docPr id="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" name="picture" descr="descript"/>
                    <pic:cNvPicPr/>
                  </pic:nvPicPr>
                  <pic:blipFill rotWithShape="true">
                    <a:blip r:embed="rId6"/>
                    <a:stretch/>
                  </pic:blipFill>
                  <pic:spPr>
                    <a:xfrm>
                      <a:off x="0" y="0"/>
                      <a:ext cx="5760720" cy="407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sluon"/>
        <w:pBdr/>
        <w:rPr/>
      </w:pPr>
      <w:r>
        <w:rPr/>
        <w:t>风险管理详细PRD</w:t>
      </w:r>
    </w:p>
    <w:p>
      <w:pPr>
        <w:snapToGrid/>
        <w:spacing w:line="240"/>
        <w:rPr/>
      </w:pPr>
      <w:r>
        <w:rPr>
          <w:i w:val="false"/>
          <w:strike w:val="false"/>
          <w:spacing w:val="0"/>
          <w:u w:val="none"/>
        </w:rPr>
        <w:t>【腾讯文档】（二期）PRD（质量检核、风险管理、资产库、下载中心）</w:t>
      </w:r>
    </w:p>
    <w:p>
      <w:pPr>
        <w:pStyle w:val="shjalb"/>
        <w:pBdr/>
        <w:rPr/>
      </w:pPr>
      <w:r>
        <w:rPr>
          <w:rStyle w:val="0lx5d4"/>
          <w:color/>
        </w:rPr>
        <w:fldChar w:fldCharType="begin"/>
      </w:r>
      <w:r>
        <w:rPr>
          <w:rStyle w:val="0lx5d4"/>
          <w:color/>
        </w:rPr>
        <w:instrText>HYPERLINK https://docs.qq.com/doc/DZVhyVFhwc2VqUEtG docLink \tdfe 0 \tdlt inline \tdlf FromPaste \l \tdsub docLink \tdkey 11wx6x</w:instrText>
      </w:r>
      <w:r>
        <w:rPr>
          <w:rStyle w:val="0lx5d4"/>
          <w:color/>
        </w:rPr>
        <w:fldChar w:fldCharType="separate"/>
      </w:r>
      <w:r>
        <w:rPr>
          <w:rStyle w:val="0lx5d4"/>
          <w:color/>
        </w:rPr>
        <w:t>（二期）PRD（质量检核、风险管理、资产库、下载中心）</w:t>
      </w:r>
      <w:r>
        <w:rPr>
          <w:rStyle w:val="0lx5d4"/>
          <w:color/>
        </w:rPr>
        <w:fldChar w:fldCharType="end"/>
      </w:r>
    </w:p>
    <w:p>
      <w:pPr>
        <w:pStyle w:val="zsluon"/>
        <w:numPr/>
        <w:pBdr/>
        <w:rPr/>
      </w:pPr>
      <w:r>
        <w:rPr/>
        <w:t>预警相关</w:t>
      </w:r>
    </w:p>
    <w:p>
      <w:pPr>
        <w:pStyle w:val="shjalb"/>
        <w:pBdr/>
        <w:rPr>
          <w:b/>
        </w:rPr>
      </w:pPr>
      <w:r>
        <w:rPr>
          <w:b/>
        </w:rPr>
        <w:t>CR预警提醒用户：</w:t>
      </w:r>
    </w:p>
    <w:p>
      <w:pPr>
        <w:numPr>
          <w:ilvl w:val="0"/>
          <w:numId w:val="5"/>
        </w:numPr>
        <w:snapToGrid/>
        <w:spacing w:before="0" w:after="0" w:line="360"/>
        <w:ind/>
        <w:rPr/>
      </w:pPr>
      <w:r>
        <w:rPr>
          <w:rFonts w:ascii="微软雅黑" w:hAnsi="微软雅黑" w:eastAsia="微软雅黑" w:cs="微软雅黑"/>
          <w:sz w:val="22"/>
        </w:rPr>
        <w:t>做为测试管理组角色下的用户：</w:t>
      </w:r>
    </w:p>
    <w:p>
      <w:pPr>
        <w:numPr>
          <w:ilvl w:val="1"/>
          <w:numId w:val="5"/>
        </w:numPr>
        <w:pBdr/>
        <w:snapToGrid/>
        <w:spacing w:line="240"/>
        <w:ind/>
        <w:rPr/>
      </w:pPr>
      <w:r>
        <w:rPr/>
        <w:t>CR计划状态不等于已完成；</w:t>
      </w:r>
    </w:p>
    <w:p>
      <w:pPr>
        <w:numPr>
          <w:ilvl w:val="1"/>
          <w:numId w:val="5"/>
        </w:numPr>
        <w:pBdr/>
        <w:snapToGrid/>
        <w:spacing w:line="240"/>
        <w:ind/>
        <w:rPr/>
      </w:pP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none"/>
        </w:rPr>
        <w:t>已到活动/任务的计划开始时间，但状态还是未开始；</w:t>
      </w:r>
    </w:p>
    <w:p>
      <w:pPr>
        <w:numPr>
          <w:ilvl w:val="1"/>
          <w:numId w:val="5"/>
        </w:numPr>
        <w:pBdr/>
        <w:snapToGrid/>
        <w:spacing w:line="240"/>
        <w:ind/>
        <w:rPr/>
      </w:pP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none"/>
        </w:rPr>
        <w:t>已到活动/任务的计划结束时间，但状态还是未开始或进行中；</w:t>
      </w:r>
    </w:p>
    <w:p>
      <w:pPr>
        <w:numPr>
          <w:ilvl w:val="0"/>
          <w:numId w:val="5"/>
        </w:numPr>
        <w:pBdr/>
        <w:snapToGrid/>
        <w:spacing w:before="0" w:after="0" w:line="360"/>
        <w:ind/>
        <w:rPr>
          <w:rFonts w:ascii="微软雅黑" w:hAnsi="微软雅黑" w:eastAsia="微软雅黑" w:cs="微软雅黑"/>
          <w:sz w:val="22"/>
        </w:rPr>
      </w:pPr>
      <w:r>
        <w:rPr>
          <w:rFonts w:ascii="微软雅黑" w:hAnsi="微软雅黑" w:eastAsia="微软雅黑" w:cs="微软雅黑"/>
          <w:sz w:val="22"/>
        </w:rPr>
        <w:t>做为CR测试经理、SIT实施经理、UAT实施经理的用户；</w:t>
      </w:r>
    </w:p>
    <w:p>
      <w:pPr>
        <w:numPr>
          <w:ilvl w:val="1"/>
          <w:numId w:val="5"/>
        </w:numPr>
        <w:pBdr>
          <w:bottom/>
        </w:pBdr>
        <w:snapToGrid/>
        <w:spacing w:line="240"/>
        <w:ind/>
        <w:rPr/>
      </w:pPr>
      <w:r>
        <w:rPr/>
        <w:t>CR计划状态不等于已完成；</w:t>
      </w:r>
    </w:p>
    <w:p>
      <w:pPr>
        <w:numPr>
          <w:ilvl w:val="1"/>
          <w:numId w:val="5"/>
        </w:numPr>
        <w:pBdr/>
        <w:snapToGrid/>
        <w:spacing w:before="0" w:after="0" w:line="360"/>
        <w:ind/>
        <w:rPr>
          <w:rFonts w:ascii="微软雅黑" w:hAnsi="微软雅黑" w:eastAsia="微软雅黑" w:cs="微软雅黑"/>
          <w:sz w:val="22"/>
        </w:rPr>
      </w:pPr>
      <w:r>
        <w:rPr>
          <w:rFonts w:ascii="微软雅黑" w:hAnsi="微软雅黑" w:eastAsia="微软雅黑" w:cs="微软雅黑"/>
          <w:sz w:val="22"/>
        </w:rPr>
        <w:t>相关CR下的活动</w:t>
      </w: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none"/>
        </w:rPr>
        <w:t>已达到期日但未结束</w:t>
      </w:r>
    </w:p>
    <w:p>
      <w:pPr>
        <w:pBdr/>
        <w:snapToGrid/>
        <w:spacing w:before="0" w:after="0" w:line="360"/>
        <w:ind w:left="0"/>
        <w:rPr>
          <w:rFonts w:ascii="微软雅黑" w:hAnsi="微软雅黑" w:eastAsia="微软雅黑" w:cs="微软雅黑"/>
          <w:b/>
          <w:sz w:val="22"/>
        </w:rPr>
      </w:pPr>
      <w:r>
        <w:rPr>
          <w:rFonts w:ascii="微软雅黑" w:hAnsi="微软雅黑" w:eastAsia="微软雅黑" w:cs="微软雅黑"/>
          <w:b/>
          <w:sz w:val="22"/>
        </w:rPr>
        <w:t>缺陷预警提醒用户：</w:t>
      </w:r>
    </w:p>
    <w:p>
      <w:pPr>
        <w:numPr/>
        <w:pBdr/>
        <w:snapToGrid/>
        <w:spacing w:before="0" w:after="0" w:line="360"/>
        <w:ind w:left="0" w:right="0"/>
        <w:jc w:val="left"/>
        <w:rPr>
          <w:rFonts w:ascii="微软雅黑" w:hAnsi="微软雅黑" w:eastAsia="微软雅黑" w:cs="微软雅黑"/>
          <w:sz w:val="22"/>
        </w:rPr>
      </w:pPr>
      <w:r>
        <w:rPr>
          <w:rFonts w:ascii="微软雅黑" w:hAnsi="微软雅黑" w:eastAsia="微软雅黑" w:cs="微软雅黑"/>
          <w:sz w:val="22"/>
        </w:rPr>
        <w:t>准入规则：</w:t>
      </w:r>
    </w:p>
    <w:p>
      <w:pPr>
        <w:numPr>
          <w:ilvl w:val="0"/>
          <w:numId w:val="6"/>
        </w:numPr>
        <w:pBdr/>
        <w:snapToGrid/>
        <w:spacing w:before="0" w:after="0" w:line="360"/>
        <w:ind/>
        <w:rPr>
          <w:rFonts w:ascii="微软雅黑" w:hAnsi="微软雅黑" w:eastAsia="微软雅黑" w:cs="微软雅黑"/>
          <w:sz w:val="22"/>
        </w:rPr>
      </w:pPr>
      <w:r>
        <w:rPr>
          <w:rFonts w:ascii="微软雅黑" w:hAnsi="微软雅黑" w:eastAsia="微软雅黑" w:cs="微软雅黑"/>
          <w:sz w:val="22"/>
        </w:rPr>
        <w:t>测试经理：</w:t>
      </w: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none"/>
        </w:rPr>
        <w:t>自己作为测试经理角色CR下的超期缺陷；</w:t>
      </w:r>
    </w:p>
    <w:p>
      <w:pPr>
        <w:numPr>
          <w:ilvl w:val="0"/>
          <w:numId w:val="6"/>
        </w:numPr>
        <w:pBdr>
          <w:bottom/>
        </w:pBdr>
        <w:snapToGrid/>
        <w:spacing w:before="0" w:after="0" w:line="360"/>
        <w:ind/>
        <w:rPr>
          <w:rFonts w:ascii="微软雅黑" w:hAnsi="微软雅黑" w:eastAsia="微软雅黑" w:cs="微软雅黑"/>
          <w:sz w:val="22"/>
        </w:rPr>
      </w:pPr>
      <w:r>
        <w:rPr>
          <w:rFonts w:ascii="微软雅黑" w:hAnsi="微软雅黑" w:eastAsia="微软雅黑" w:cs="微软雅黑"/>
          <w:sz w:val="22"/>
        </w:rPr>
        <w:t>SIT实施经理：</w:t>
      </w: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none"/>
        </w:rPr>
        <w:t>自己作为SIT经理角色CR下超期缺陷，SIT阶段下超期未解决缺陷。</w:t>
      </w:r>
    </w:p>
    <w:p>
      <w:pPr>
        <w:numPr>
          <w:ilvl w:val="0"/>
          <w:numId w:val="6"/>
        </w:numPr>
        <w:pBdr/>
        <w:snapToGrid/>
        <w:spacing w:before="0" w:after="0" w:line="360"/>
        <w:ind/>
        <w:rPr>
          <w:rFonts w:ascii="微软雅黑" w:hAnsi="微软雅黑" w:eastAsia="微软雅黑" w:cs="微软雅黑"/>
          <w:sz w:val="22"/>
        </w:rPr>
      </w:pPr>
      <w:r>
        <w:rPr>
          <w:rFonts w:ascii="微软雅黑" w:hAnsi="微软雅黑" w:eastAsia="微软雅黑" w:cs="微软雅黑"/>
          <w:sz w:val="22"/>
        </w:rPr>
        <w:t>UAT实施经理：</w:t>
      </w: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none"/>
        </w:rPr>
        <w:t>自己作为UAT经理角色CR下超期缺陷，UAT阶段下超期未解决缺陷。</w:t>
      </w:r>
    </w:p>
    <w:p>
      <w:pPr>
        <w:numPr>
          <w:ilvl w:val="0"/>
          <w:numId w:val="6"/>
        </w:numPr>
        <w:pBdr/>
        <w:snapToGrid/>
        <w:spacing w:before="0" w:after="0" w:line="360"/>
        <w:ind/>
        <w:rPr>
          <w:rFonts w:ascii="微软雅黑" w:hAnsi="微软雅黑" w:eastAsia="微软雅黑" w:cs="微软雅黑"/>
          <w:sz w:val="22"/>
        </w:rPr>
      </w:pPr>
      <w:r>
        <w:rPr>
          <w:rFonts w:ascii="微软雅黑" w:hAnsi="微软雅黑" w:eastAsia="微软雅黑" w:cs="微软雅黑"/>
          <w:sz w:val="22"/>
        </w:rPr>
        <w:t>系统负责人：</w:t>
      </w: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none"/>
        </w:rPr>
        <w:t>自己所负责系统下超期缺陷。</w:t>
      </w:r>
    </w:p>
    <w:p>
      <w:pPr>
        <w:numPr>
          <w:ilvl w:val="0"/>
          <w:numId w:val="6"/>
        </w:numPr>
        <w:pBdr>
          <w:bottom/>
        </w:pBdr>
        <w:snapToGrid/>
        <w:spacing w:before="0" w:after="0" w:line="360"/>
        <w:ind/>
        <w:rPr>
          <w:rFonts w:ascii="微软雅黑" w:hAnsi="微软雅黑" w:eastAsia="微软雅黑" w:cs="微软雅黑"/>
          <w:sz w:val="22"/>
        </w:rPr>
      </w:pPr>
      <w:r>
        <w:rPr>
          <w:rFonts w:ascii="微软雅黑" w:hAnsi="微软雅黑" w:eastAsia="微软雅黑" w:cs="微软雅黑"/>
          <w:sz w:val="22"/>
        </w:rPr>
        <w:t>以上角色超期定义</w:t>
      </w: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none"/>
        </w:rPr>
        <w:t>按缺陷管理模块的超期缺陷定义</w:t>
      </w:r>
    </w:p>
    <w:p>
      <w:pPr>
        <w:numPr/>
        <w:pBdr/>
        <w:snapToGrid/>
        <w:spacing w:before="0" w:after="0" w:line="360"/>
        <w:ind w:left="0"/>
        <w:jc w:val="left"/>
        <w:rPr>
          <w:rFonts w:ascii="微软雅黑" w:hAnsi="微软雅黑" w:eastAsia="微软雅黑" w:cs="微软雅黑"/>
          <w:sz w:val="22"/>
        </w:rPr>
      </w:pPr>
      <w:r>
        <w:rPr>
          <w:rFonts w:ascii="微软雅黑" w:hAnsi="微软雅黑" w:eastAsia="微软雅黑" w:cs="微软雅黑"/>
          <w:sz w:val="22"/>
        </w:rPr>
        <w:t>准出规则：</w:t>
      </w:r>
    </w:p>
    <w:p>
      <w:pPr>
        <w:pBdr>
          <w:bottom/>
        </w:pBdr>
        <w:snapToGrid/>
        <w:spacing w:before="0" w:after="0" w:line="360"/>
        <w:ind w:left="0"/>
        <w:rPr>
          <w:rFonts w:ascii="微软雅黑" w:hAnsi="微软雅黑" w:eastAsia="微软雅黑" w:cs="微软雅黑"/>
          <w:sz w:val="22"/>
        </w:rPr>
      </w:pP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none"/>
        </w:rPr>
        <w:t>缺陷已关闭、已驳回（删除）</w:t>
      </w:r>
    </w:p>
    <w:p>
      <w:pPr>
        <w:pStyle w:val="shjalb"/>
        <w:pBdr/>
        <w:rPr/>
      </w:pPr>
    </w:p>
    <w:p>
      <w:pPr>
        <w:pStyle w:val="shjalb"/>
        <w:pBdr>
          <w:bottom/>
        </w:pBdr>
        <w:rPr/>
      </w:pPr>
    </w:p>
    <w:sectPr>
      <w:pgSz w:w="11906" w:h="16838"/>
      <w:pgMar w:top="1361" w:right="1417" w:bottom="1361" w:left="1417" w:header="712" w:footer="853"/>
    </w:sectPr>
  </w:body>
</w:document>
</file>

<file path=word/fontTable.xml><?xml version="1.0" encoding="utf-8"?>
<w:fonts xmlns:w="http://schemas.openxmlformats.org/wordprocessingml/2006/main"/>
</file>

<file path=word/numbering.xml><?xml version="1.0" encoding="utf-8"?>
<w:numbering xmlns:w="http://schemas.openxmlformats.org/wordprocessingml/2006/main">
  <w:abstractNum w:abstractNumId="1"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</w:abstractNum>
  <w:abstractNum w:abstractNumId="2"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  <w:u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  <w:u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</w:abstractNum>
  <w:abstractNum w:abstractNumId="3">
    <w:lvl w:ilvl="8">
      <w:start w:val="1"/>
      <w:numFmt w:val="lowerRoman"/>
      <w:lvlText w:val="%9."/>
      <w:lvlJc w:val="left"/>
      <w:pPr>
        <w:ind w:left="3856" w:hanging="336"/>
      </w:pPr>
      <w:rPr>
        <w:rFonts/>
      </w:rPr>
    </w:lvl>
    <w:lvl w:ilvl="2">
      <w:start w:val="1"/>
      <w:numFmt w:val="lowerRoman"/>
      <w:lvlText w:val="%3."/>
      <w:lvlJc w:val="left"/>
      <w:pPr>
        <w:ind w:left="1216" w:hanging="336"/>
      </w:pPr>
      <w:rPr>
        <w:rFonts/>
      </w:rPr>
    </w:lvl>
    <w:lvl w:ilvl="6">
      <w:start w:val="1"/>
      <w:numFmt w:val="decimal"/>
      <w:lvlText w:val="%7."/>
      <w:lvlJc w:val="left"/>
      <w:pPr>
        <w:ind w:left="2976" w:hanging="336"/>
      </w:pPr>
      <w:rPr>
        <w:rFonts/>
      </w:rPr>
    </w:lvl>
    <w:lvl w:ilvl="5">
      <w:start w:val="1"/>
      <w:numFmt w:val="lowerRoman"/>
      <w:lvlText w:val="%6."/>
      <w:lvlJc w:val="left"/>
      <w:pPr>
        <w:ind w:left="2536" w:hanging="336"/>
      </w:pPr>
      <w:rPr>
        <w:rFonts/>
      </w:rPr>
    </w:lvl>
    <w:lvl w:ilvl="0">
      <w:start w:val="1"/>
      <w:numFmt w:val="decimal"/>
      <w:lvlText w:val="%1."/>
      <w:lvlJc w:val="left"/>
      <w:pPr>
        <w:ind w:left="336" w:hanging="336"/>
      </w:pPr>
      <w:rPr>
        <w:rFonts/>
      </w:rPr>
    </w:lvl>
    <w:lvl w:ilvl="7">
      <w:start w:val="1"/>
      <w:numFmt w:val="lowerLetter"/>
      <w:lvlText w:val="%8."/>
      <w:lvlJc w:val="left"/>
      <w:pPr>
        <w:ind w:left="3416" w:hanging="336"/>
      </w:pPr>
      <w:rPr>
        <w:rFonts/>
      </w:rPr>
    </w:lvl>
    <w:lvl w:ilvl="4">
      <w:start w:val="1"/>
      <w:numFmt w:val="lowerLetter"/>
      <w:lvlText w:val="%5."/>
      <w:lvlJc w:val="left"/>
      <w:pPr>
        <w:ind w:left="2096" w:hanging="336"/>
      </w:pPr>
      <w:rPr>
        <w:rFonts/>
      </w:rPr>
    </w:lvl>
    <w:lvl w:ilvl="1">
      <w:start w:val="1"/>
      <w:numFmt w:val="lowerLetter"/>
      <w:lvlText w:val="%2."/>
      <w:lvlJc w:val="left"/>
      <w:pPr>
        <w:ind w:left="776" w:hanging="336"/>
      </w:pPr>
      <w:rPr>
        <w:rFonts/>
      </w:rPr>
    </w:lvl>
    <w:lvl w:ilvl="3">
      <w:start w:val="1"/>
      <w:numFmt w:val="decimal"/>
      <w:lvlText w:val="%4."/>
      <w:lvlJc w:val="left"/>
      <w:pPr>
        <w:ind w:left="1656" w:hanging="336"/>
      </w:pPr>
      <w:rPr>
        <w:rFonts/>
      </w:rPr>
    </w:lvl>
  </w:abstractNum>
  <w:abstractNum w:abstractNumId="4">
    <w:lvl w:ilvl="3">
      <w:start w:val="1"/>
      <w:numFmt w:val="bullet"/>
      <w:lvlText w:val=""/>
      <w:pPr>
        <w:ind w:left="209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341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1216" w:hanging="336"/>
      </w:pPr>
      <w:rPr>
        <w:rFonts w:hint="default" w:ascii="wingdings" w:hAnsi="wingdings" w:eastAsia="wingdings" w:cs="wingdings"/>
        <w:u/>
      </w:rPr>
    </w:lvl>
    <w:lvl w:ilvl="0">
      <w:start w:val="1"/>
      <w:numFmt w:val="bullet"/>
      <w:lvlText w:val=""/>
      <w:lvlJc w:val="left"/>
      <w:pPr>
        <w:ind w:left="776" w:hanging="336"/>
      </w:pPr>
      <w:rPr>
        <w:rFonts w:hint="default" w:ascii="wingdings" w:hAnsi="wingdings" w:eastAsia="wingdings" w:cs="wingdings"/>
        <w:u/>
      </w:rPr>
    </w:lvl>
    <w:lvl w:ilvl="4">
      <w:start w:val="1"/>
      <w:numFmt w:val="bullet"/>
      <w:lvlText w:val="¡"/>
      <w:pPr>
        <w:ind w:left="253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65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85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976" w:hanging="336"/>
      </w:pPr>
      <w:rPr>
        <w:rFonts w:hint="default" w:ascii="wingdings" w:hAnsi="wingdings" w:eastAsia="wingdings" w:cs="wingdings"/>
      </w:rPr>
    </w:lvl>
  </w:abstractNum>
  <w:abstractNum w:abstractNumId="5"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</w:abstractNum>
  <w:abstractNum w:abstractNumId="6">
    <w:lvl w:ilvl="6">
      <w:start w:val="1"/>
      <w:numFmt w:val="decimal"/>
      <w:lvlText w:val="%7."/>
      <w:lvlJc w:val="left"/>
      <w:pPr>
        <w:ind w:left="2976" w:hanging="336"/>
      </w:pPr>
      <w:rPr>
        <w:rFonts/>
      </w:rPr>
    </w:lvl>
    <w:lvl w:ilvl="1">
      <w:start w:val="1"/>
      <w:numFmt w:val="lowerLetter"/>
      <w:lvlText w:val="%2."/>
      <w:lvlJc w:val="left"/>
      <w:pPr>
        <w:ind w:left="776" w:hanging="336"/>
      </w:pPr>
      <w:rPr>
        <w:rFonts/>
      </w:rPr>
    </w:lvl>
    <w:lvl w:ilvl="2">
      <w:start w:val="1"/>
      <w:numFmt w:val="lowerRoman"/>
      <w:lvlText w:val="%3."/>
      <w:lvlJc w:val="left"/>
      <w:pPr>
        <w:ind w:left="1216" w:hanging="336"/>
      </w:pPr>
      <w:rPr>
        <w:rFonts/>
      </w:rPr>
    </w:lvl>
    <w:lvl w:ilvl="7">
      <w:start w:val="1"/>
      <w:numFmt w:val="lowerLetter"/>
      <w:lvlText w:val="%8."/>
      <w:lvlJc w:val="left"/>
      <w:pPr>
        <w:ind w:left="3416" w:hanging="336"/>
      </w:pPr>
      <w:rPr>
        <w:rFonts/>
      </w:rPr>
    </w:lvl>
    <w:lvl w:ilvl="0">
      <w:start w:val="1"/>
      <w:numFmt w:val="decimal"/>
      <w:lvlText w:val="%1."/>
      <w:lvlJc w:val="left"/>
      <w:pPr>
        <w:ind w:left="336" w:hanging="336"/>
      </w:pPr>
      <w:rPr>
        <w:rFonts/>
      </w:rPr>
    </w:lvl>
    <w:lvl w:ilvl="8">
      <w:start w:val="1"/>
      <w:numFmt w:val="lowerRoman"/>
      <w:lvlText w:val="%9."/>
      <w:lvlJc w:val="left"/>
      <w:pPr>
        <w:ind w:left="3856" w:hanging="336"/>
      </w:pPr>
      <w:rPr>
        <w:rFonts/>
      </w:rPr>
    </w:lvl>
    <w:lvl w:ilvl="4">
      <w:start w:val="1"/>
      <w:numFmt w:val="lowerLetter"/>
      <w:lvlText w:val="%5."/>
      <w:lvlJc w:val="left"/>
      <w:pPr>
        <w:ind w:left="2096" w:hanging="336"/>
      </w:pPr>
      <w:rPr>
        <w:rFonts/>
      </w:rPr>
    </w:lvl>
    <w:lvl w:ilvl="3">
      <w:start w:val="1"/>
      <w:numFmt w:val="decimal"/>
      <w:lvlText w:val="%4."/>
      <w:lvlJc w:val="left"/>
      <w:pPr>
        <w:ind w:left="1656" w:hanging="336"/>
      </w:pPr>
      <w:rPr>
        <w:rFonts/>
      </w:rPr>
    </w:lvl>
    <w:lvl w:ilvl="5">
      <w:start w:val="1"/>
      <w:numFmt w:val="lowerRoman"/>
      <w:lvlText w:val="%6."/>
      <w:lvlJc w:val="left"/>
      <w:pPr>
        <w:ind w:left="2536" w:hanging="336"/>
      </w:pPr>
      <w:rPr>
        <w:rFonts/>
      </w:rPr>
    </w:lvl>
  </w:abstractNum>
  <w:num w:numId="4">
    <w:abstractNumId w:val="5"/>
  </w:num>
  <w:num w:numId="2">
    <w:abstractNumId w:val="3"/>
  </w:num>
  <w:num w:numId="3">
    <w:abstractNumId w:val="1"/>
  </w:num>
  <w:num w:numId="6">
    <w:abstractNumId w:val="4"/>
  </w:num>
  <w:num w:numId="5">
    <w:abstractNumId w:val="2"/>
  </w:num>
  <w:num w:numId="1">
    <w:abstractNumId w:val="6"/>
  </w:num>
</w:numbering>
</file>

<file path=word/settings.xml><?xml version="1.0" encoding="utf-8"?>
<w:settings xmlns:w="http://schemas.openxmlformats.org/wordprocessingml/2006/main"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w="http://schemas.openxmlformats.org/wordprocessingml/2006/main">
  <w:docDefaults>
    <w:rPrDefault>
      <w:rPr>
        <w:rFonts w:ascii="minorHAnsi" w:hAnsi="minorHAnsi" w:eastAsia="minorEastAsia" w:cstheme="minorBidi"/>
        <w:color w:val="333333"/>
        <w:kern w:val="2"/>
        <w:sz w:val="22"/>
        <w:szCs w:val="22"/>
      </w:rPr>
    </w:rPrDefault>
    <w:pPrDefault>
      <w:pPr>
        <w:snapToGrid w:val="false"/>
        <w:spacing w:before="60" w:after="60" w:line="312" w:lineRule="auto"/>
      </w:pPr>
    </w:pPrDefault>
  </w:docDefaults>
  <w:style w:type="table" w:styleId="ltaqjz" w:default="true">
    <w:name w:val="Normal Table"/>
    <w:basedOn w:val=""/>
    <w:next w:val="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qz2d9n" w:default="true">
    <w:name w:val="Default Paragraph Font"/>
    <w:basedOn w:val=""/>
    <w:next w:val=""/>
    <w:uiPriority w:val="1"/>
    <w:semiHidden/>
    <w:unhideWhenUsed/>
  </w:style>
  <w:style w:type="character" w:styleId="0lx5d4">
    <w:name w:val="Hyperlink"/>
    <w:basedOn w:val="qz2d9n"/>
    <w:next w:val=""/>
    <w:uiPriority w:val="99"/>
    <w:unhideWhenUsed/>
    <w:rPr>
      <w:color w:val="1E6FFF" w:themeColor="hyperlink"/>
      <w:u w:val="single"/>
    </w:rPr>
  </w:style>
  <w:style w:type="table" w:styleId="721m6x">
    <w:name w:val="Table Grid"/>
    <w:basedOn w:val="ltaqjz"/>
    <w:next w:val=""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paragraph" w:styleId="ahkdxm">
    <w:name w:val="Title"/>
    <w:basedOn w:val="shjalb"/>
    <w:next w:val="5znyks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paragraph" w:styleId="shjalb" w:default="true">
    <w:name w:val="Normal"/>
    <w:basedOn w:val=""/>
    <w:next w:val=""/>
    <w:pPr>
      <w:widowControl w:val="false"/>
      <w:jc w:val="left"/>
    </w:pPr>
  </w:style>
  <w:style w:type="paragraph" w:styleId="5znyks" w:default="true">
    <w:name w:val="Normal"/>
    <w:basedOn w:val=""/>
    <w:next w:val=""/>
    <w:pPr>
      <w:widowControl w:val="false"/>
      <w:jc w:val="left"/>
    </w:pPr>
  </w:style>
  <w:style w:type="paragraph" w:styleId="zsluon">
    <w:name w:val="heading 2"/>
    <w:basedOn w:val="shjalb"/>
    <w:next w:val="shjalb"/>
    <w:uiPriority w:val="9"/>
    <w:qFormat/>
    <w:pPr>
      <w:keepNext/>
      <w:keepLines/>
      <w:spacing w:before="0" w:after="0" w:line="408" w:lineRule="auto"/>
      <w:outlineLvl w:val="1"/>
    </w:pPr>
    <w:rPr>
      <w:b/>
      <w:bCs/>
      <w:color w:val="1A1A1A"/>
      <w:sz w:val="32"/>
      <w:szCs w:val="32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0" Type="http://schemas.openxmlformats.org/officeDocument/2006/relationships/styles" Target="styles.xml" /><Relationship Id="rId6" Type="http://schemas.openxmlformats.org/officeDocument/2006/relationships/image" Target="media/image3.jpg" /><Relationship Id="rId2" Type="http://schemas.openxmlformats.org/officeDocument/2006/relationships/fontTable" Target="fontTable.xml" /><Relationship Id="rId3" Type="http://schemas.openxmlformats.org/officeDocument/2006/relationships/numbering" Target="numbering.xml" /><Relationship Id="rId4" Type="http://schemas.openxmlformats.org/officeDocument/2006/relationships/image" Target="media/image1.png" /><Relationship Id="rId5" Type="http://schemas.openxmlformats.org/officeDocument/2006/relationships/image" Target="media/image2.png" /></Relationships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dcmitype="http://purl.org/dc/dcmitype/" xmlns:dcterms="http://purl.org/dc/terms/" xmlns:cp="http://schemas.openxmlformats.org/package/2006/metadata/core-properties" xmlns:dc="http://purl.org/dc/elements/1.1/">
  <dcterms:created xsi:type="dcterms:W3CDTF">2025-03-06T11:22:00Z</dcterms:created>
  <dcterms:modified xsi:type="dcterms:W3CDTF">2025-03-06T11:22:00Z</dcterms:modified>
</cp:coreProperties>
</file>