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第二批次投产预案</w:t>
      </w:r>
    </w:p>
    <w:p>
      <w:pPr>
        <w:snapToGrid/>
        <w:spacing w:line="240"/>
        <w:rPr/>
      </w:pPr>
    </w:p>
    <w:p>
      <w:pPr>
        <w:pStyle w:val="c8c16s"/>
        <w:rPr/>
      </w:pPr>
      <w:r>
        <w:rPr/>
        <w:t xml:space="preserve"> 投产时间</w:t>
      </w:r>
    </w:p>
    <w:p>
      <w:pPr>
        <w:pBdr/>
        <w:snapToGrid/>
        <w:spacing w:line="240"/>
        <w:rPr/>
      </w:pPr>
      <w:r>
        <w:rPr/>
        <w:fldChar w:fldCharType="begin"/>
      </w:r>
      <w:r>
        <w:rPr/>
        <w:instrText>HYPERLINK https://docs.qq.com/open/addon/countdown/index.html#id=fbc384a4245047a98ba55c1f88162437&amp;env=prod addonHina \tdw 9000 \tdh 1440 \tdlt preview \tdly container \tdkey ujcru0 \tdlar 0 \tdaci ujcru0 \tdo https://docs.qq.com/open/addon/countdown/index.html#id=fbc384a4245047a98ba55c1f88162437&amp;env=prod \tdadi 511d36d9a6b343c3b89577f63e69a7c0 \tded e-x-t</w:instrText>
      </w:r>
      <w:r>
        <w:rPr/>
        <w:fldChar w:fldCharType="separate"/>
      </w:r>
      <w:r>
        <w:rPr>
          <w:rStyle w:val="vq246e"/>
        </w:rPr>
        <w:t>https://docs.qq.com/open/addon/countdown/index.html#id=fbc384a4245047a98ba55c1f88162437&amp;env=prod</w:t>
      </w:r>
      <w:r>
        <w:rPr/>
        <w:fldChar w:fldCharType="end"/>
      </w:r>
    </w:p>
    <w:p>
      <w:pPr>
        <w:snapToGrid/>
        <w:spacing w:line="240"/>
        <w:rPr/>
      </w:pPr>
    </w:p>
    <w:p>
      <w:pPr>
        <w:pStyle w:val="xhyeuq"/>
        <w:rPr/>
      </w:pPr>
      <w:r>
        <w:rPr/>
        <w:t xml:space="preserve"> 投产准备工作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资产库案例库相关事项</w:t>
      </w:r>
      <w:r>
        <w:rPr>
          <w:i w:val="false"/>
          <w:strike w:val="false"/>
          <w:spacing w:val="0"/>
          <w:u w:val="none"/>
        </w:rPr>
        <w:t>：</w:t>
      </w:r>
    </w:p>
    <w:p>
      <w:pPr>
        <w:numPr/>
        <w:pBdr/>
        <w:snapToGrid/>
        <w:spacing w:line="240"/>
        <w:ind w:left="0" w:firstLineChars="200"/>
        <w:rPr/>
      </w:pPr>
      <w:r>
        <w:rPr/>
        <w:t>权限配置</w:t>
        <w:tab/>
      </w:r>
    </w:p>
    <w:p>
      <w:pPr>
        <w:numPr/>
        <w:pBdr/>
        <w:snapToGrid/>
        <w:spacing w:line="240"/>
        <w:ind w:left="0" w:firstLineChars="200"/>
        <w:rPr/>
      </w:pPr>
      <w:r>
        <w:rPr/>
        <w:t>线下资产案例导入</w:t>
      </w:r>
    </w:p>
    <w:p>
      <w:pPr>
        <w:pBdr/>
        <w:snapToGrid/>
        <w:spacing w:line="240"/>
        <w:ind w:left="336"/>
        <w:rPr>
          <w:i w:val="false"/>
          <w:strike w:val="false"/>
          <w:spacing w:val="0"/>
          <w:u w:val="none"/>
        </w:rPr>
      </w:pPr>
    </w:p>
    <w:p>
      <w:pPr>
        <w:numPr>
          <w:ilvl w:val="0"/>
          <w:numId w:val="1"/>
        </w:numPr>
        <w:pBdr/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风险管理相关事项</w:t>
      </w:r>
      <w:r>
        <w:rPr>
          <w:i w:val="false"/>
          <w:strike w:val="false"/>
          <w:spacing w:val="0"/>
          <w:u w:val="none"/>
        </w:rPr>
        <w:t>：</w:t>
      </w:r>
    </w:p>
    <w:p>
      <w:pPr>
        <w:pBdr/>
        <w:snapToGrid/>
        <w:spacing w:line="240"/>
        <w:ind w:left="336"/>
        <w:rPr/>
      </w:pPr>
      <w:r>
        <w:rPr/>
        <w:t>权限配置</w:t>
      </w:r>
    </w:p>
    <w:p>
      <w:pPr>
        <w:pBdr/>
        <w:snapToGrid/>
        <w:spacing w:line="240"/>
        <w:ind w:left="336"/>
        <w:rPr/>
      </w:pPr>
      <w:r>
        <w:rPr/>
        <w:t>风险专家配置</w:t>
      </w:r>
    </w:p>
    <w:p>
      <w:pPr>
        <w:pBdr/>
        <w:snapToGrid/>
        <w:spacing w:line="240"/>
        <w:ind w:left="336"/>
        <w:rPr/>
      </w:pPr>
      <w:r>
        <w:rPr/>
        <w:t>测试负责人配置</w:t>
      </w:r>
    </w:p>
    <w:p>
      <w:pPr>
        <w:pBdr/>
        <w:snapToGrid/>
        <w:spacing w:line="240"/>
        <w:ind w:left="336"/>
        <w:rPr/>
      </w:pPr>
      <w:r>
        <w:rPr/>
        <w:t>线下风险数据导入、建立风险案例关系</w:t>
      </w:r>
    </w:p>
    <w:p>
      <w:pPr>
        <w:pBdr/>
        <w:snapToGrid/>
        <w:spacing w:line="240"/>
        <w:ind w:left="336"/>
        <w:rPr/>
      </w:pPr>
    </w:p>
    <w:p>
      <w:pPr>
        <w:pStyle w:val="4xvryk"/>
        <w:numPr/>
        <w:rPr/>
      </w:pPr>
      <w:r>
        <w:rPr/>
        <w:t xml:space="preserve"> 投产内容</w:t>
      </w:r>
    </w:p>
    <w:tbl>
      <w:tblPr>
        <w:tblStyle w:val="5btr97"/>
        <w:tblLayout w:type="fixed"/>
        <w:tblLook/>
      </w:tblPr>
      <w:tblGrid>
        <w:gridCol w:w="2978"/>
        <w:gridCol w:w="2978"/>
        <w:gridCol w:w="2978"/>
      </w:tblGrid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功能模块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操作功能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备注</w:t>
            </w: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风险管理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风险处理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  <w:tc>
          <w:tcPr>
            <w:tcW w:w="2978" w:type="dxa"/>
          </w:tcPr>
          <w:p>
            <w:pPr>
              <w:numPr/>
              <w:pBdr>
                <w:bottom/>
              </w:pBdr>
              <w:snapToGrid/>
              <w:spacing w:line="240"/>
              <w:rPr/>
            </w:pPr>
            <w:r>
              <w:rPr/>
              <w:t>风险审批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测试度量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目录维护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指标维护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资产库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资产库、案例库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需求管理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CR案例/案例设计任务下从案例库引入、从风险库引入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需求管理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风险页签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非功能测试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  <w:tr>
        <w:trPr>
          <w:wBefore/>
          <w:trHeight w:val="403"/>
        </w:trPr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消息通知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  <w:r>
              <w:rPr/>
              <w:t>通知配置、消息通知</w:t>
            </w:r>
          </w:p>
        </w:tc>
        <w:tc>
          <w:tcPr>
            <w:tcW w:w="2978" w:type="dxa"/>
          </w:tcPr>
          <w:p>
            <w:pPr>
              <w:numPr/>
              <w:snapToGrid/>
              <w:spacing w:line="240"/>
              <w:rPr/>
            </w:pPr>
          </w:p>
        </w:tc>
      </w:tr>
    </w:tbl>
    <w:p>
      <w:pPr>
        <w:pBdr/>
        <w:snapToGrid/>
        <w:spacing w:line="240"/>
        <w:ind w:left="336"/>
        <w:rPr/>
      </w:pPr>
    </w:p>
    <w:p>
      <w:pPr>
        <w:snapToGrid/>
        <w:spacing w:line="240"/>
        <w:rPr/>
      </w:pPr>
    </w:p>
    <w:p>
      <w:pPr>
        <w:pStyle w:val="zpj1bv"/>
        <w:pBdr/>
        <w:rPr/>
      </w:pPr>
      <w:r>
        <w:rPr/>
        <w:t xml:space="preserve"> 应急处理</w:t>
      </w:r>
    </w:p>
    <w:p>
      <w:pPr>
        <w:snapToGrid/>
        <w:spacing w:line="240"/>
        <w:rPr/>
      </w:pPr>
      <w:r>
        <w:rPr/>
        <w:tab/>
        <w:t>支持版本回退。</w:t>
      </w:r>
    </w:p>
    <w:p>
      <w:pPr>
        <w:pStyle w:val="4xvryk"/>
        <w:rPr/>
      </w:pPr>
      <w:r>
        <w:rPr/>
        <w:t xml:space="preserve"> 风险评估</w:t>
      </w:r>
    </w:p>
    <w:p>
      <w:pPr>
        <w:snapToGrid/>
        <w:spacing w:line="240"/>
        <w:rPr/>
      </w:pPr>
    </w:p>
    <w:p>
      <w:pPr>
        <w:numPr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malzar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8c16s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table" w:styleId="5btr97">
    <w:name w:val="Table Grid"/>
    <w:basedOn w:val="malzar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pj1bv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jcohlo" w:default="true">
    <w:name w:val="Default Paragraph Font"/>
    <w:basedOn w:val=""/>
    <w:next w:val=""/>
    <w:uiPriority w:val="1"/>
    <w:semiHidden/>
    <w:unhideWhenUsed/>
  </w:style>
  <w:style w:type="paragraph" w:styleId="9ooeay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vq246e">
    <w:name w:val="Hyperlink"/>
    <w:basedOn w:val="jcohlo"/>
    <w:next w:val=""/>
    <w:uiPriority w:val="99"/>
    <w:unhideWhenUsed/>
    <w:rPr>
      <w:color w:val="1E6FFF" w:themeColor="hyperlink"/>
      <w:u w:val="single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8ucy6h">
    <w:name w:val="heading 1"/>
    <w:basedOn w:val="shjalb"/>
    <w:next w:val="shjalb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shjalb" w:default="true">
    <w:name w:val="Normal"/>
    <w:basedOn w:val=""/>
    <w:next w:val=""/>
    <w:pPr>
      <w:widowControl w:val="false"/>
      <w:jc w:val="left"/>
    </w:pPr>
  </w:style>
  <w:style w:type="paragraph" w:styleId="4xvryk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xhyeuq">
    <w:name w:val="heading 2"/>
    <w:basedOn w:val="shjalb"/>
    <w:next w:val="shjalb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2025-03-06T11:28:51Z</dcterms:created>
  <dcterms:modified xsi:type="dcterms:W3CDTF">2025-03-06T11:28:51Z</dcterms:modified>
</cp:coreProperties>
</file>