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CỤC TIÊU CHUẨN ĐO LƯỜNG-CHẤT LƯỢNG / TRUNG TÂM TIÊU CHUẨN ĐO LƯỜNG-CHẤT LƯỢNG 2</w:t>
            </w:r>
          </w:p>
        </w:tc>
        <w:tc>
          <w:tcPr>
            <w:tcW w:type="dxa" w:w="4320"/>
          </w:tcPr>
          <w:p>
            <w:r>
              <w:t>CỘNG HÒA XÃ HỘI CHỦ NGHĨA VIỆT NAM / Độc lập - Tự do - Hạnh phúc</w:t>
            </w:r>
          </w:p>
        </w:tc>
      </w:tr>
    </w:tbl>
    <w:p>
      <w:r>
        <w:t>BIÊN BẢN KIỂM ĐỊNH</w:t>
      </w:r>
    </w:p>
    <w:p>
      <w:r>
        <w:t>Tên phương tiện ĐL-TN: {{ header.name }}</w:t>
      </w:r>
    </w:p>
    <w:p>
      <w:r>
        <w:t>Ký hiệu: {{ header.no }}          Số hiệu: {{ header.serial }}</w:t>
      </w:r>
    </w:p>
    <w:p>
      <w:r>
        <w:t>Nước (hãng) sản xuất: {{ header.country }}</w:t>
      </w:r>
    </w:p>
    <w:p>
      <w:r>
        <w:t>Đặc tính đo lường: Dải tần số đo từ {{ header.Characteristics }}</w:t>
      </w:r>
    </w:p>
    <w:p>
      <w:r>
        <w:t>Phương pháp kiểm định: QTKĐ 2.461 : 2018</w:t>
      </w:r>
    </w:p>
    <w:p>
      <w:r>
        <w:t>Phương tiện kiểm định: {{ header.equipment }}</w:t>
      </w:r>
    </w:p>
    <w:p>
      <w:r>
        <w:t>Điều kiện môi trường:  nhiệt độ {{ header.temperature }}                độ ẩm {{ header.humidity }}</w:t>
      </w:r>
    </w:p>
    <w:p>
      <w:r>
        <w:t>Đã tiến hành kiểm định ngày {{ header.today }}</w:t>
      </w:r>
    </w:p>
    <w:p>
      <w:r>
        <w:t>KẾT QUẢ KIỂM ĐỊNH</w:t>
      </w:r>
    </w:p>
    <w:p>
      <w:r>
        <w:t>1 Kiểm tra bên ngoài</w:t>
      </w:r>
    </w:p>
    <w:p>
      <w:r>
        <w:t>2 Kiểm tra kỹ thuật</w:t>
      </w:r>
    </w:p>
    <w:p>
      <w:r>
        <w:t>3 Kiểm tra đo lường</w:t>
      </w:r>
    </w:p>
    <w:p>
      <w:r>
        <w:t>{% if tables.A1.enabled %}</w:t>
      </w:r>
    </w:p>
    <w:p>
      <w:r>
        <w:t>3.1 Xác định sai số tần số bộ dao động thạch anh</w:t>
      </w:r>
    </w:p>
    <w:p>
      <w:r>
        <w:t>Bảng A1 - Xác định sai số tần số bộ dao động thạch anh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Tần số thiết lập</w:t>
            </w:r>
          </w:p>
        </w:tc>
        <w:tc>
          <w:tcPr>
            <w:tcW w:type="dxa" w:w="1728"/>
          </w:tcPr>
          <w:p>
            <w:r>
              <w:t>Tần số đo được</w:t>
              <w:br/>
              <w:t>trên CNT-90XL</w:t>
              <w:br/>
              <w:t>(fCi)</w:t>
            </w:r>
          </w:p>
        </w:tc>
        <w:tc>
          <w:tcPr>
            <w:tcW w:type="dxa" w:w="1728"/>
          </w:tcPr>
          <w:p>
            <w:r>
              <w:t>Tần số đo được</w:t>
              <w:br/>
              <w:t>trên CNT-90XL</w:t>
              <w:br/>
              <w:t>(fC)</w:t>
            </w:r>
          </w:p>
        </w:tc>
        <w:tc>
          <w:tcPr>
            <w:tcW w:type="dxa" w:w="1728"/>
          </w:tcPr>
          <w:p>
            <w:r>
              <w:t>Sai số tần số</w:t>
              <w:br/>
              <w:t>(δf)</w:t>
            </w:r>
          </w:p>
        </w:tc>
        <w:tc>
          <w:tcPr>
            <w:tcW w:type="dxa" w:w="1728"/>
          </w:tcPr>
          <w:p>
            <w:r>
              <w:t>Sai số</w:t>
              <w:br/>
              <w:t>cho phép</w:t>
              <w:br/>
              <w:t>(δfcp)</w:t>
            </w:r>
          </w:p>
        </w:tc>
      </w:tr>
      <w:tr>
        <w:tc>
          <w:tcPr>
            <w:tcW w:type="dxa" w:w="1728"/>
            <w:vMerge w:val="restart"/>
          </w:tcPr>
          <w:p>
            <w:r>
              <w:t>10 MHz</w:t>
            </w:r>
          </w:p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>
            <w:r>
              <w:t>{{ tables.A1.report_val() }}</w:t>
            </w:r>
          </w:p>
        </w:tc>
        <w:tc>
          <w:tcPr>
            <w:tcW w:type="dxa" w:w="1728"/>
          </w:tcPr>
          <w:p>
            <w:r>
              <w:t>± 2,4×10⁻⁷</w:t>
            </w:r>
          </w:p>
        </w:tc>
      </w:tr>
    </w:tbl>
    <w:p>
      <w:r>
        <w:t>{% endif %}</w:t>
      </w:r>
    </w:p>
    <w:p>
      <w:r>
        <w:t>{% if tables.A2.enabled %}</w:t>
      </w:r>
    </w:p>
    <w:p>
      <w:r>
        <w:t>3.2 Xác định độ nhạy đầu vào kênh A</w:t>
      </w:r>
    </w:p>
    <w:p>
      <w:r>
        <w:t>Bảng A2 - Xác định độ nhạy đầu vào kênh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 số thiết lập</w:t>
            </w:r>
          </w:p>
        </w:tc>
        <w:tc>
          <w:tcPr>
            <w:tcW w:type="dxa" w:w="2880"/>
          </w:tcPr>
          <w:p>
            <w:r>
              <w:t>Độ nhạy đo được</w:t>
            </w:r>
          </w:p>
        </w:tc>
        <w:tc>
          <w:tcPr>
            <w:tcW w:type="dxa" w:w="2880"/>
          </w:tcPr>
          <w:p>
            <w:r>
              <w:t>Độ nhạy cho phép</w:t>
            </w:r>
          </w:p>
        </w:tc>
      </w:tr>
      <w:tr>
        <w:tc>
          <w:tcPr>
            <w:tcW w:type="dxa" w:w="2880"/>
          </w:tcPr>
          <w:p>
            <w:r>
              <w:t>100 kHz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 w:val="restart"/>
          </w:tcPr>
          <w:p>
            <w:r>
              <w:t>≤ 15 mVrms</w:t>
            </w:r>
          </w:p>
        </w:tc>
      </w:tr>
      <w:tr>
        <w:tc>
          <w:tcPr>
            <w:tcW w:type="dxa" w:w="2880"/>
          </w:tcPr>
          <w:p>
            <w:r>
              <w:t>1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25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40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60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80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100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150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200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 w:val="restart"/>
          </w:tcPr>
          <w:p>
            <w:r>
              <w:t>≤ 25 mVrms</w:t>
            </w:r>
          </w:p>
        </w:tc>
      </w:tr>
      <w:tr>
        <w:tc>
          <w:tcPr>
            <w:tcW w:type="dxa" w:w="2880"/>
          </w:tcPr>
          <w:p>
            <w:r>
              <w:t>250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300 MHz</w:t>
            </w:r>
          </w:p>
        </w:tc>
        <w:tc>
          <w:tcPr>
            <w:tcW w:type="dxa" w:w="2880"/>
          </w:tcPr>
          <w:p>
            <w:r>
              <w:t>{{ tables.A2.report_val() }}</w:t>
            </w:r>
          </w:p>
        </w:tc>
        <w:tc>
          <w:tcPr>
            <w:tcW w:type="dxa" w:w="2880"/>
            <w:vMerge/>
          </w:tcPr>
          <w:p/>
        </w:tc>
      </w:tr>
    </w:tbl>
    <w:p>
      <w:r>
        <w:t>{% endif %}</w:t>
      </w:r>
    </w:p>
    <w:p>
      <w:r>
        <w:t>{% if tables.A3.enabled %}</w:t>
      </w:r>
    </w:p>
    <w:p>
      <w:r>
        <w:t>3.3 Xác định độ nhạy đầu vào kênh B</w:t>
      </w:r>
    </w:p>
    <w:p>
      <w:r>
        <w:t>Bảng A3 - Xác định độ nhạy đầu vào kênh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 số thiết lập</w:t>
            </w:r>
          </w:p>
        </w:tc>
        <w:tc>
          <w:tcPr>
            <w:tcW w:type="dxa" w:w="2880"/>
          </w:tcPr>
          <w:p>
            <w:r>
              <w:t>Độ nhạy đo được</w:t>
            </w:r>
          </w:p>
        </w:tc>
        <w:tc>
          <w:tcPr>
            <w:tcW w:type="dxa" w:w="2880"/>
          </w:tcPr>
          <w:p>
            <w:r>
              <w:t>Độ nhạy cho phép</w:t>
            </w:r>
          </w:p>
        </w:tc>
      </w:tr>
      <w:tr>
        <w:tc>
          <w:tcPr>
            <w:tcW w:type="dxa" w:w="2880"/>
          </w:tcPr>
          <w:p>
            <w:r>
              <w:t>100 kHz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 w:val="restart"/>
          </w:tcPr>
          <w:p>
            <w:r>
              <w:t>≤ 15 mVrms</w:t>
            </w:r>
          </w:p>
        </w:tc>
      </w:tr>
      <w:tr>
        <w:tc>
          <w:tcPr>
            <w:tcW w:type="dxa" w:w="2880"/>
          </w:tcPr>
          <w:p>
            <w:r>
              <w:t>1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25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40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60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80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100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150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200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 w:val="restart"/>
          </w:tcPr>
          <w:p>
            <w:r>
              <w:t>≤ 25 mVrms</w:t>
            </w:r>
          </w:p>
        </w:tc>
      </w:tr>
      <w:tr>
        <w:tc>
          <w:tcPr>
            <w:tcW w:type="dxa" w:w="2880"/>
          </w:tcPr>
          <w:p>
            <w:r>
              <w:t>250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300 MHz</w:t>
            </w:r>
          </w:p>
        </w:tc>
        <w:tc>
          <w:tcPr>
            <w:tcW w:type="dxa" w:w="2880"/>
          </w:tcPr>
          <w:p>
            <w:r>
              <w:t>{{ tables.A3.report_val() }}</w:t>
            </w:r>
          </w:p>
        </w:tc>
        <w:tc>
          <w:tcPr>
            <w:tcW w:type="dxa" w:w="2880"/>
            <w:vMerge/>
          </w:tcPr>
          <w:p/>
        </w:tc>
      </w:tr>
    </w:tbl>
    <w:p>
      <w:r>
        <w:t>{% endif %}</w:t>
      </w:r>
    </w:p>
    <w:p>
      <w:r>
        <w:t>{% if tables.A4.enabled %}</w:t>
      </w:r>
    </w:p>
    <w:p>
      <w:r>
        <w:t>3.4 Xác định độ nhạy đầu vào kênh C</w:t>
      </w:r>
    </w:p>
    <w:p>
      <w:r>
        <w:t>Bảng A4 - Xác định độ nhạy đầu vào kênh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 số thiết lập</w:t>
            </w:r>
          </w:p>
        </w:tc>
        <w:tc>
          <w:tcPr>
            <w:tcW w:type="dxa" w:w="2880"/>
          </w:tcPr>
          <w:p>
            <w:r>
              <w:t>Độ nhạy đo được</w:t>
            </w:r>
          </w:p>
        </w:tc>
        <w:tc>
          <w:tcPr>
            <w:tcW w:type="dxa" w:w="2880"/>
          </w:tcPr>
          <w:p>
            <w:r>
              <w:t>Độ nhạy cho phép</w:t>
            </w:r>
          </w:p>
        </w:tc>
      </w:tr>
      <w:tr>
        <w:tc>
          <w:tcPr>
            <w:tcW w:type="dxa" w:w="2880"/>
          </w:tcPr>
          <w:p>
            <w:r>
              <w:t>400 MHz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 w:val="restart"/>
          </w:tcPr>
          <w:p>
            <w:r>
              <w:t>≤ -27 dBm</w:t>
            </w:r>
          </w:p>
        </w:tc>
      </w:tr>
      <w:tr>
        <w:tc>
          <w:tcPr>
            <w:tcW w:type="dxa" w:w="2880"/>
          </w:tcPr>
          <w:p>
            <w:r>
              <w:t>1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5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10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13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16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18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 w:val="restart"/>
          </w:tcPr>
          <w:p>
            <w:r>
              <w:t>≤ -29 dBm</w:t>
            </w:r>
          </w:p>
        </w:tc>
      </w:tr>
      <w:tr>
        <w:tc>
          <w:tcPr>
            <w:tcW w:type="dxa" w:w="2880"/>
          </w:tcPr>
          <w:p>
            <w:r>
              <w:t>19,9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  <w:tr>
        <w:tc>
          <w:tcPr>
            <w:tcW w:type="dxa" w:w="2880"/>
          </w:tcPr>
          <w:p>
            <w:r>
              <w:t>20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 w:val="restart"/>
          </w:tcPr>
          <w:p>
            <w:r>
              <w:t>≤ -27 dBm</w:t>
            </w:r>
          </w:p>
        </w:tc>
      </w:tr>
      <w:tr>
        <w:tc>
          <w:tcPr>
            <w:tcW w:type="dxa" w:w="2880"/>
          </w:tcPr>
          <w:p>
            <w:r>
              <w:t>22 GHz</w:t>
            </w:r>
          </w:p>
        </w:tc>
        <w:tc>
          <w:tcPr>
            <w:tcW w:type="dxa" w:w="2880"/>
          </w:tcPr>
          <w:p>
            <w:r>
              <w:t>{{ tables.A4.report_val() }}</w:t>
            </w:r>
          </w:p>
        </w:tc>
        <w:tc>
          <w:tcPr>
            <w:tcW w:type="dxa" w:w="2880"/>
            <w:vMerge/>
          </w:tcPr>
          <w:p/>
        </w:tc>
      </w:tr>
    </w:tbl>
    <w:p>
      <w:r>
        <w:t>{% endif %}</w:t>
      </w:r>
    </w:p>
    <w:p>
      <w:r>
        <w:t>{% if tables.A5.enabled %}</w:t>
      </w:r>
    </w:p>
    <w:p>
      <w:r>
        <w:t>3.5 Xác định sai số đo tần số kênh A</w:t>
      </w:r>
    </w:p>
    <w:p>
      <w:r>
        <w:t>Bảng A5 - Xác định sai số đo tần số kênh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Tần số thiết lập</w:t>
            </w:r>
          </w:p>
        </w:tc>
        <w:tc>
          <w:tcPr>
            <w:tcW w:type="dxa" w:w="2160"/>
          </w:tcPr>
          <w:p>
            <w:r>
              <w:t>Tần số đo được trên kênh A (fđo)</w:t>
            </w:r>
          </w:p>
        </w:tc>
        <w:tc>
          <w:tcPr>
            <w:tcW w:type="dxa" w:w="2160"/>
          </w:tcPr>
          <w:p>
            <w:r>
              <w:t>Sai số đo tần số</w:t>
              <w:br/>
              <w:t>(δf)</w:t>
            </w:r>
          </w:p>
        </w:tc>
        <w:tc>
          <w:tcPr>
            <w:tcW w:type="dxa" w:w="2160"/>
          </w:tcPr>
          <w:p>
            <w:r>
              <w:t>Sai số</w:t>
              <w:br/>
              <w:t>cho phép</w:t>
            </w:r>
          </w:p>
        </w:tc>
      </w:tr>
      <w:tr>
        <w:tc>
          <w:tcPr>
            <w:tcW w:type="dxa" w:w="2160"/>
          </w:tcPr>
          <w:p>
            <w:r>
              <w:t>5 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 w:val="restart"/>
          </w:tcPr>
          <w:p>
            <w:r>
              <w:t>± 2,4×10⁻⁷</w:t>
            </w:r>
          </w:p>
        </w:tc>
      </w:tr>
      <w:tr>
        <w:tc>
          <w:tcPr>
            <w:tcW w:type="dxa" w:w="2160"/>
          </w:tcPr>
          <w:p>
            <w:r>
              <w:t>10 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kHz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kHz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kHz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500 kHz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MHz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MHz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MHz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300 MHz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</w:tcPr>
          <w:p>
            <w:r>
              <w:t>{{ tables.A5.report_val() }}</w:t>
            </w:r>
          </w:p>
        </w:tc>
        <w:tc>
          <w:tcPr>
            <w:tcW w:type="dxa" w:w="2160"/>
            <w:vMerge/>
          </w:tcPr>
          <w:p/>
        </w:tc>
      </w:tr>
    </w:tbl>
    <w:p>
      <w:r>
        <w:t>{% endif %}</w:t>
      </w:r>
    </w:p>
    <w:p>
      <w:r>
        <w:t>{% if tables.A6.enabled %}</w:t>
      </w:r>
    </w:p>
    <w:p>
      <w:r>
        <w:t>3.6 Xác định sai số đo tần số kênh B</w:t>
      </w:r>
    </w:p>
    <w:p>
      <w:r>
        <w:t>Bảng A6 - Xác định sai số đo tần số kênh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Tần số thiết lập</w:t>
            </w:r>
          </w:p>
        </w:tc>
        <w:tc>
          <w:tcPr>
            <w:tcW w:type="dxa" w:w="2160"/>
          </w:tcPr>
          <w:p>
            <w:r>
              <w:t>Tần số đo được trên kênh B (fđo)</w:t>
            </w:r>
          </w:p>
        </w:tc>
        <w:tc>
          <w:tcPr>
            <w:tcW w:type="dxa" w:w="2160"/>
          </w:tcPr>
          <w:p>
            <w:r>
              <w:t>Sai số đo tần số</w:t>
              <w:br/>
              <w:t>(δf)</w:t>
            </w:r>
          </w:p>
        </w:tc>
        <w:tc>
          <w:tcPr>
            <w:tcW w:type="dxa" w:w="2160"/>
          </w:tcPr>
          <w:p>
            <w:r>
              <w:t>Sai số</w:t>
              <w:br/>
              <w:t>cho phép</w:t>
            </w:r>
          </w:p>
        </w:tc>
      </w:tr>
      <w:tr>
        <w:tc>
          <w:tcPr>
            <w:tcW w:type="dxa" w:w="2160"/>
          </w:tcPr>
          <w:p>
            <w:r>
              <w:t>5 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 w:val="restart"/>
          </w:tcPr>
          <w:p>
            <w:r>
              <w:t>± 2,4×10⁻⁷</w:t>
            </w:r>
          </w:p>
        </w:tc>
      </w:tr>
      <w:tr>
        <w:tc>
          <w:tcPr>
            <w:tcW w:type="dxa" w:w="2160"/>
          </w:tcPr>
          <w:p>
            <w:r>
              <w:t>10 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kHz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kHz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kHz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500 kHz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MHz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MHz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MHz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300 MHz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</w:tcPr>
          <w:p>
            <w:r>
              <w:t>{{ tables.A6.report_val() }}</w:t>
            </w:r>
          </w:p>
        </w:tc>
        <w:tc>
          <w:tcPr>
            <w:tcW w:type="dxa" w:w="2160"/>
            <w:vMerge/>
          </w:tcPr>
          <w:p/>
        </w:tc>
      </w:tr>
    </w:tbl>
    <w:p>
      <w:r>
        <w:t>{% endif %}</w:t>
      </w:r>
    </w:p>
    <w:p>
      <w:r>
        <w:t>{% if tables.A7.enabled %}</w:t>
      </w:r>
    </w:p>
    <w:p>
      <w:r>
        <w:t>3.7 Xác định sai số đo tần số kênh C</w:t>
      </w:r>
    </w:p>
    <w:p>
      <w:r>
        <w:t>Bảng A7 - Xác định sai số đo tần số kênh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Tần số thiết lập</w:t>
            </w:r>
          </w:p>
        </w:tc>
        <w:tc>
          <w:tcPr>
            <w:tcW w:type="dxa" w:w="2160"/>
          </w:tcPr>
          <w:p>
            <w:r>
              <w:t>Tần số đo được trên kênh C (fđo)</w:t>
            </w:r>
          </w:p>
        </w:tc>
        <w:tc>
          <w:tcPr>
            <w:tcW w:type="dxa" w:w="2160"/>
          </w:tcPr>
          <w:p>
            <w:r>
              <w:t>Sai số đo tần số</w:t>
              <w:br/>
              <w:t>(δf)</w:t>
            </w:r>
          </w:p>
        </w:tc>
        <w:tc>
          <w:tcPr>
            <w:tcW w:type="dxa" w:w="2160"/>
          </w:tcPr>
          <w:p>
            <w:r>
              <w:t>Sai số</w:t>
              <w:br/>
              <w:t>cho phép</w:t>
            </w:r>
          </w:p>
        </w:tc>
      </w:tr>
      <w:tr>
        <w:tc>
          <w:tcPr>
            <w:tcW w:type="dxa" w:w="2160"/>
          </w:tcPr>
          <w:p>
            <w:r>
              <w:t>400 MHz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  <w:vMerge w:val="restart"/>
          </w:tcPr>
          <w:p>
            <w:r>
              <w:t>± 2,4×10⁻⁷</w:t>
            </w:r>
          </w:p>
        </w:tc>
      </w:tr>
      <w:tr>
        <w:tc>
          <w:tcPr>
            <w:tcW w:type="dxa" w:w="2160"/>
          </w:tcPr>
          <w:p>
            <w:r>
              <w:t>1 GHz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2 GHz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3 GHz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</w:tcPr>
          <w:p>
            <w:r>
              <w:t>{{ tables.A7.report_val() }}</w:t>
            </w:r>
          </w:p>
        </w:tc>
        <w:tc>
          <w:tcPr>
            <w:tcW w:type="dxa" w:w="2160"/>
            <w:vMerge/>
          </w:tcPr>
          <w:p/>
        </w:tc>
      </w:tr>
    </w:tbl>
    <w:p>
      <w:r>
        <w:t>{% endif %}</w:t>
      </w:r>
    </w:p>
    <w:p>
      <w:r>
        <w:t>{% if tables.A8.enabled %}</w:t>
      </w:r>
    </w:p>
    <w:p>
      <w:r>
        <w:t>3.8 Xác định sai số đo chu kỳ</w:t>
      </w:r>
    </w:p>
    <w:p>
      <w:r>
        <w:t>Bảng A8 - Xác định sai số đo chu kỳ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Tần số (chu kỳ) thiết lập trên Γ3-110, SMF-100A</w:t>
            </w:r>
          </w:p>
        </w:tc>
        <w:tc>
          <w:tcPr>
            <w:tcW w:type="dxa" w:w="2160"/>
          </w:tcPr>
          <w:p>
            <w:r>
              <w:t>Chu kỳ đo được (Tđo)</w:t>
            </w:r>
          </w:p>
        </w:tc>
        <w:tc>
          <w:tcPr>
            <w:tcW w:type="dxa" w:w="2160"/>
          </w:tcPr>
          <w:p>
            <w:r>
              <w:t>Sai số đo</w:t>
              <w:br/>
              <w:t>(δT)</w:t>
            </w:r>
          </w:p>
        </w:tc>
        <w:tc>
          <w:tcPr>
            <w:tcW w:type="dxa" w:w="2160"/>
          </w:tcPr>
          <w:p>
            <w:r>
              <w:t>Sai số cho phép</w:t>
              <w:br/>
              <w:t>(δTcp)</w:t>
            </w:r>
          </w:p>
        </w:tc>
      </w:tr>
      <w:tr>
        <w:tc>
          <w:tcPr>
            <w:tcW w:type="dxa" w:w="2160"/>
          </w:tcPr>
          <w:p>
            <w:r>
              <w:t>5 Hz (200 ms)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 w:val="restart"/>
          </w:tcPr>
          <w:p>
            <w:r>
              <w:t>± 2,4×10⁻⁷</w:t>
            </w:r>
          </w:p>
        </w:tc>
      </w:tr>
      <w:tr>
        <w:tc>
          <w:tcPr>
            <w:tcW w:type="dxa" w:w="2160"/>
          </w:tcPr>
          <w:p>
            <w:r>
              <w:t>10 Hz (100 ms)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Hz (10 ms)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kHz (1 ms)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kHz (100 µs)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kHz (10 µs)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 MHz (1 µs)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2 MHz (0,5 µs)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 MHz (100 ns)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50 MHz (20 ns)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100 MHz (10 ns)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200 MHz (5 ns)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300 MHz (3,33 ns)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</w:tcPr>
          <w:p>
            <w:r>
              <w:t>{{ tables.A8.report_val() }}</w:t>
            </w:r>
          </w:p>
        </w:tc>
        <w:tc>
          <w:tcPr>
            <w:tcW w:type="dxa" w:w="2160"/>
            <w:vMerge/>
          </w:tcPr>
          <w:p/>
        </w:tc>
      </w:tr>
    </w:tbl>
    <w:p>
      <w:r>
        <w:t>{% endif %}</w:t>
      </w:r>
    </w:p>
    <w:p>
      <w:r>
        <w:t>4 Kết luận: {{ header.conclusion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Người soát lại</w:t>
            </w:r>
          </w:p>
          <w:p>
            <w:r>
              <w:t>{{ header.reviewer }}</w:t>
            </w:r>
          </w:p>
        </w:tc>
        <w:tc>
          <w:tcPr>
            <w:tcW w:type="dxa" w:w="4320"/>
          </w:tcPr>
          <w:p>
            <w:r>
              <w:t>Kiểm định viên</w:t>
            </w:r>
          </w:p>
          <w:p>
            <w:r>
              <w:t>{{ header.inspector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