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CỤC TIÊU CHUẨN ĐO LƯỜNG-CHẤT LƯỢNG / TRUNG TÂM TIÊU CHUẨN ĐO LƯỜNG-CHẤT LƯỢNG 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CỘNG HÒA XÃ HỘI CHỦ NGHĨA VIỆT NAM / Độc lập - Tự do - Hạnh phúc</w:t>
            </w:r>
          </w:p>
        </w:tc>
      </w:tr>
    </w:tbl>
    <w:p>
      <w:pPr>
        <w:spacing w:after="80"/>
        <w:jc w:val="center"/>
      </w:pPr>
      <w:r>
        <w:rPr>
          <w:rFonts w:ascii="Times New Roman" w:hAnsi="Times New Roman" w:eastAsia="Times New Roman"/>
          <w:b/>
          <w:sz w:val="32"/>
        </w:rPr>
        <w:t>BIÊN BẢN KIỂM ĐỊNH</w:t>
      </w:r>
    </w:p>
    <w:p>
      <w:r>
        <w:rPr>
          <w:rFonts w:ascii="Times New Roman" w:hAnsi="Times New Roman" w:eastAsia="Times New Roman"/>
          <w:b/>
          <w:sz w:val="26"/>
        </w:rPr>
        <w:t xml:space="preserve">Tên phương tiện ĐL-TN: </w:t>
      </w:r>
      <w:r>
        <w:rPr>
          <w:rFonts w:ascii="Times New Roman" w:hAnsi="Times New Roman" w:eastAsia="Times New Roman"/>
          <w:b w:val="0"/>
          <w:sz w:val="26"/>
        </w:rPr>
        <w:t>{{ header.name }}</w:t>
      </w:r>
    </w:p>
    <w:p>
      <w:r>
        <w:rPr>
          <w:rFonts w:ascii="Times New Roman" w:hAnsi="Times New Roman" w:eastAsia="Times New Roman"/>
          <w:b/>
          <w:sz w:val="26"/>
        </w:rPr>
        <w:t xml:space="preserve">Ký hiệu: </w:t>
      </w:r>
      <w:r>
        <w:rPr>
          <w:rFonts w:ascii="Times New Roman" w:hAnsi="Times New Roman" w:eastAsia="Times New Roman"/>
          <w:b w:val="0"/>
          <w:sz w:val="26"/>
        </w:rPr>
        <w:t>{{ header.no }}</w:t>
      </w:r>
      <w:r>
        <w:rPr>
          <w:rFonts w:ascii="Times New Roman" w:hAnsi="Times New Roman" w:eastAsia="Times New Roman"/>
          <w:b/>
          <w:sz w:val="26"/>
        </w:rPr>
        <w:t xml:space="preserve">          Số hiệu: </w:t>
      </w:r>
      <w:r>
        <w:rPr>
          <w:rFonts w:ascii="Times New Roman" w:hAnsi="Times New Roman" w:eastAsia="Times New Roman"/>
          <w:b w:val="0"/>
          <w:sz w:val="26"/>
        </w:rPr>
        <w:t>{{ header.serial }}</w:t>
      </w:r>
    </w:p>
    <w:p>
      <w:r>
        <w:rPr>
          <w:rFonts w:ascii="Times New Roman" w:hAnsi="Times New Roman" w:eastAsia="Times New Roman"/>
          <w:b/>
          <w:sz w:val="26"/>
        </w:rPr>
        <w:t xml:space="preserve">Nước (hãng) sản xuất: </w:t>
      </w:r>
      <w:r>
        <w:rPr>
          <w:rFonts w:ascii="Times New Roman" w:hAnsi="Times New Roman" w:eastAsia="Times New Roman"/>
          <w:b w:val="0"/>
          <w:sz w:val="26"/>
        </w:rPr>
        <w:t>{{ header.country }}</w:t>
      </w:r>
    </w:p>
    <w:p>
      <w:r>
        <w:rPr>
          <w:rFonts w:ascii="Times New Roman" w:hAnsi="Times New Roman" w:eastAsia="Times New Roman"/>
          <w:b/>
          <w:sz w:val="26"/>
        </w:rPr>
        <w:t xml:space="preserve">Đặc tính đo lường: Dải tần số đo từ </w:t>
      </w:r>
      <w:r>
        <w:rPr>
          <w:rFonts w:ascii="Times New Roman" w:hAnsi="Times New Roman" w:eastAsia="Times New Roman"/>
          <w:b w:val="0"/>
          <w:sz w:val="26"/>
        </w:rPr>
        <w:t>{{ header.Characteristics }}</w:t>
      </w:r>
    </w:p>
    <w:p>
      <w:r>
        <w:rPr>
          <w:rFonts w:ascii="Times New Roman" w:hAnsi="Times New Roman" w:eastAsia="Times New Roman"/>
          <w:sz w:val="26"/>
        </w:rPr>
        <w:t>Phương pháp kiểm định: QTKĐ 2.461 : 2018</w:t>
      </w:r>
    </w:p>
    <w:p>
      <w:r>
        <w:rPr>
          <w:rFonts w:ascii="Times New Roman" w:hAnsi="Times New Roman" w:eastAsia="Times New Roman"/>
          <w:b/>
          <w:sz w:val="26"/>
        </w:rPr>
        <w:t xml:space="preserve">Phương tiện kiểm định: </w:t>
      </w:r>
      <w:r>
        <w:rPr>
          <w:rFonts w:ascii="Times New Roman" w:hAnsi="Times New Roman" w:eastAsia="Times New Roman"/>
          <w:b w:val="0"/>
          <w:sz w:val="26"/>
        </w:rPr>
        <w:t>{{ header.equipment }}</w:t>
      </w:r>
    </w:p>
    <w:p>
      <w:r>
        <w:rPr>
          <w:rFonts w:ascii="Times New Roman" w:hAnsi="Times New Roman" w:eastAsia="Times New Roman"/>
          <w:b/>
          <w:sz w:val="26"/>
        </w:rPr>
        <w:t xml:space="preserve">Điều kiện môi trường:  nhiệt độ </w:t>
      </w:r>
      <w:r>
        <w:rPr>
          <w:rFonts w:ascii="Times New Roman" w:hAnsi="Times New Roman" w:eastAsia="Times New Roman"/>
          <w:b w:val="0"/>
          <w:sz w:val="26"/>
        </w:rPr>
        <w:t>{{ header.temperature }}</w:t>
      </w:r>
      <w:r>
        <w:rPr>
          <w:rFonts w:ascii="Times New Roman" w:hAnsi="Times New Roman" w:eastAsia="Times New Roman"/>
          <w:b/>
          <w:sz w:val="26"/>
        </w:rPr>
        <w:t xml:space="preserve">                độ ẩm </w:t>
      </w:r>
      <w:r>
        <w:rPr>
          <w:rFonts w:ascii="Times New Roman" w:hAnsi="Times New Roman" w:eastAsia="Times New Roman"/>
          <w:b w:val="0"/>
          <w:sz w:val="26"/>
        </w:rPr>
        <w:t>{{ header.humidity }}</w:t>
      </w:r>
    </w:p>
    <w:p>
      <w:r>
        <w:rPr>
          <w:rFonts w:ascii="Times New Roman" w:hAnsi="Times New Roman" w:eastAsia="Times New Roman"/>
          <w:b/>
          <w:sz w:val="26"/>
        </w:rPr>
        <w:t xml:space="preserve">Đã tiến hành kiểm định ngày </w:t>
      </w:r>
      <w:r>
        <w:rPr>
          <w:rFonts w:ascii="Times New Roman" w:hAnsi="Times New Roman" w:eastAsia="Times New Roman"/>
          <w:b w:val="0"/>
          <w:sz w:val="26"/>
        </w:rPr>
        <w:t>{{ header.today }}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6"/>
        </w:rPr>
        <w:t>KẾT QUẢ KIỂM ĐỊNH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1 Kiểm tra bên ngoài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2 Kiểm tra kỹ thuật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 Kiểm tra đo lường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tables.A1.enabled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3.1 Xác định sai số tần số bộ dao động thạch anh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A1 - Xác định sai số tần số bộ dao động thạch anh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thiết lập</w:t>
            </w:r>
          </w:p>
        </w:tc>
        <w:tc>
          <w:tcPr>
            <w:tcW w:type="dxa" w:w="1728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đo được</w:t>
              <w:br/>
              <w:t>trên CNT-90XL</w:t>
              <w:br/>
              <w:t>(fCi)</w:t>
            </w:r>
          </w:p>
        </w:tc>
        <w:tc>
          <w:tcPr>
            <w:tcW w:type="dxa" w:w="1728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đo được</w:t>
              <w:br/>
              <w:t>trên CNT-90XL</w:t>
              <w:br/>
              <w:t>(fC)</w:t>
            </w:r>
          </w:p>
        </w:tc>
        <w:tc>
          <w:tcPr>
            <w:tcW w:type="dxa" w:w="1728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 tần số</w:t>
              <w:br/>
              <w:t>(δf)</w:t>
            </w:r>
          </w:p>
        </w:tc>
        <w:tc>
          <w:tcPr>
            <w:tcW w:type="dxa" w:w="1728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</w:t>
              <w:br/>
              <w:t>cho phép</w:t>
              <w:br/>
              <w:t>(δfcp)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MHz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tables.A1.report_val() }}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tables.A1.report_val() }}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tables.A1.report_val() }}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tables.A1.report_val() }}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tables.A1.report_val() }}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tables.A1.report_val() }}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tables.A1.report_val() }}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tables.A2.enabled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3.2 Xác định độ nhạy đầu vào kênh A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A2 - Xác định độ nhạy đầu vào kênh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thiết lập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 nhạy đo được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 nhạy cho phép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kHz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≤ 15 mVrms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≤ 25 mVrms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tables.A2.report_val() }}</w:t>
            </w:r>
          </w:p>
        </w:tc>
        <w:tc>
          <w:tcPr>
            <w:tcW w:type="dxa" w:w="2880"/>
            <w:vMerge/>
          </w:tcPr>
          <w:p/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tables.A3.enabled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3.3 Xác định độ nhạy đầu vào kênh B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A3 - Xác định độ nhạy đầu vào kênh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thiết lập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 nhạy đo được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 nhạy cho phép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kHz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≤ 15 mVrms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≤ 25 mVrms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tables.A3.report_val() }}</w:t>
            </w:r>
          </w:p>
        </w:tc>
        <w:tc>
          <w:tcPr>
            <w:tcW w:type="dxa" w:w="2880"/>
            <w:vMerge/>
          </w:tcPr>
          <w:p/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tables.A4.enabled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3.4 Xác định độ nhạy đầu vào kênh C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A4 - Xác định độ nhạy đầu vào kênh 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thiết lập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 nhạy đo được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 nhạy cho phép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400 MHz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≤ -27 dBm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16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18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≤ -29 dBm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19,9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≤ -27 dBm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 GHz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tables.A4.report_val() }}</w:t>
            </w:r>
          </w:p>
        </w:tc>
        <w:tc>
          <w:tcPr>
            <w:tcW w:type="dxa" w:w="2880"/>
            <w:vMerge/>
          </w:tcPr>
          <w:p/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tables.A5.enabled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3.5 Xác định sai số đo tần số kênh A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A5 - Xác định sai số đo tần số kênh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thiết lập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đo được trên kênh A (fđo)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 đo tần số</w:t>
              <w:br/>
              <w:t>(δf)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</w:t>
              <w:br/>
              <w:t>cho phép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300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tables.A5.report_val() }}</w:t>
            </w:r>
          </w:p>
        </w:tc>
        <w:tc>
          <w:tcPr>
            <w:tcW w:type="dxa" w:w="2160"/>
            <w:vMerge/>
          </w:tcPr>
          <w:p/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tables.A6.enabled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3.6 Xác định sai số đo tần số kênh B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A6 - Xác định sai số đo tần số kênh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thiết lập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đo được trên kênh B (fđo)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 đo tần số</w:t>
              <w:br/>
              <w:t>(δf)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</w:t>
              <w:br/>
              <w:t>cho phép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 kHz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300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tables.A6.report_val() }}</w:t>
            </w:r>
          </w:p>
        </w:tc>
        <w:tc>
          <w:tcPr>
            <w:tcW w:type="dxa" w:w="2160"/>
            <w:vMerge/>
          </w:tcPr>
          <w:p/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tables.A7.enabled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3.7 Xác định sai số đo tần số kênh C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A7 - Xác định sai số đo tần số kênh 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thiết lập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đo được trên kênh C (fđo)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 đo tần số</w:t>
              <w:br/>
              <w:t>(δf)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</w:t>
              <w:br/>
              <w:t>cho phép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400 MHz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GHz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GHz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GHz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tables.A7.report_val() }}</w:t>
            </w:r>
          </w:p>
        </w:tc>
        <w:tc>
          <w:tcPr>
            <w:tcW w:type="dxa" w:w="2160"/>
            <w:vMerge/>
          </w:tcPr>
          <w:p/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color w:val="595959"/>
          <w:sz w:val="18"/>
        </w:rPr>
        <w:t>{% if tables.A8.enabled %}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6"/>
        </w:rPr>
        <w:t>3.8 Xác định sai số đo chu kỳ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sz w:val="26"/>
        </w:rPr>
        <w:t>Bảng A8 - Xác định sai số đo chu kỳ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Tần số (chu kỳ) thiết lập trên Γ3-110, SMF-100A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Chu kỳ đo được (Tđo)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 đo</w:t>
              <w:br/>
              <w:t>(δT)</w:t>
            </w:r>
          </w:p>
        </w:tc>
        <w:tc>
          <w:tcPr>
            <w:tcW w:type="dxa" w:w="216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Sai số cho phép</w:t>
              <w:br/>
              <w:t>(δTcp)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Hz (200 ms)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 w:val="restart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Hz (100 ms)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Hz (10 ms)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kHz (1 ms)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kHz (100 µs)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kHz (10 µs)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MHz (1 µs)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MHz (0,5 µs)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MHz (100 ns)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 MHz (20 ns)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 MHz (10 ns)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200 MHz (5 ns)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300 MHz (3,33 ns)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tables.A8.report_val() }}</w:t>
            </w:r>
          </w:p>
        </w:tc>
        <w:tc>
          <w:tcPr>
            <w:tcW w:type="dxa" w:w="2160"/>
            <w:vMerge/>
          </w:tcPr>
          <w:p/>
        </w:tc>
      </w:tr>
    </w:tbl>
    <w:p>
      <w:r>
        <w:rPr>
          <w:rFonts w:ascii="Times New Roman" w:hAnsi="Times New Roman" w:eastAsia="Times New Roman"/>
          <w:color w:val="595959"/>
          <w:sz w:val="18"/>
        </w:rPr>
        <w:t>{% endif %}</w:t>
      </w:r>
    </w:p>
    <w:p>
      <w:r>
        <w:rPr>
          <w:rFonts w:ascii="Times New Roman" w:hAnsi="Times New Roman" w:eastAsia="Times New Roman"/>
          <w:b/>
          <w:sz w:val="26"/>
        </w:rPr>
        <w:t xml:space="preserve">4 Kết luận: </w:t>
      </w:r>
      <w:r>
        <w:rPr>
          <w:rFonts w:ascii="Times New Roman" w:hAnsi="Times New Roman" w:eastAsia="Times New Roman"/>
          <w:b w:val="0"/>
          <w:sz w:val="26"/>
        </w:rPr>
        <w:t>{{ header.conclusion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Người soát lại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{{ header.reviewer }}</w:t>
            </w:r>
          </w:p>
        </w:tc>
        <w:tc>
          <w:tcPr>
            <w:tcW w:type="dxa" w:w="4320"/>
            <w:vAlign w:val="center"/>
          </w:tcPr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Kiểm định viên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{{ header.inspector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