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i w:val="0"/>
          <w:color w:val="0B2545"/>
          <w:sz w:val="44"/>
        </w:rPr>
        <w:t>BÁO CÁO FINAL — AN TOÀN THÔNG TIN CHO LLM</w:t>
      </w:r>
    </w:p>
    <w:p>
      <w:pPr>
        <w:spacing w:after="280"/>
      </w:pPr>
      <w:r>
        <w:rPr>
          <w:rFonts w:ascii="Calibri" w:hAnsi="Calibri"/>
          <w:b w:val="0"/>
          <w:i w:val="0"/>
          <w:color w:val="666666"/>
          <w:sz w:val="28"/>
        </w:rPr>
        <w:t>Pair 1: Indirect Prompt Injection trên RAG và Long-term Memory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Mô hình baseline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Pipeline giữa kỳ V2/V4, DeepSeek Chat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Evaluation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20 câu MedQA-USMLE stratified, seed 14, temperature 0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Snapshot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Frozen DeepSeek/MedRAG snapshot; seed 14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Trạng thái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350 DeepSeek API calls thật, uncached, 27/08/2026</w:t>
            </w:r>
          </w:p>
        </w:tc>
      </w:tr>
    </w:tbl>
    <w:p/>
    <w:p>
      <w:pPr>
        <w:pStyle w:val="Heading1"/>
      </w:pPr>
      <w:r>
        <w:t>Tóm tắt kết quả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Baseline giữa kỳ được giữ nguyên byte-for-byte: không sửa agent, entrypoint, workflow, prompt mặc định, corpus, retrieval ranking hay nhãn đáp án. Security harness ngoài baseline chỉ tạo attacked/defended view ở dữ liệu không tin cậy sau retrieval, rồi gọi pipeline gốc.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Kết quả chính V2 RAG trên base bất biến: clean 19/20 (95%) → Combined top-1 18/20 (90%), targeted ASR 1/12 (8.3%). Stress document-authority/all-top-k đạt ASR 1/12 (8.3%) nhưng không làm giảm accuracy ròng; input guard đưa ASR stress về 0/13 và lọc payload 100%. R2 Chained-Completion, R3 high-pressure memory và R4 five-shot context smoke đều 5/5, ASR 0/3 — negative results được giữ lại.</w:t>
            </w:r>
          </w:p>
        </w:tc>
      </w:tr>
    </w:tbl>
    <w:p>
      <w:r>
        <w:br w:type="page"/>
      </w:r>
    </w:p>
    <w:p>
      <w:pPr>
        <w:pStyle w:val="Heading1"/>
      </w:pPr>
      <w:r>
        <w:t>1. Threat model và bất biến baseline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Kẻ tấn công chỉ kiểm soát text của passage RAG hoặc explanation của memory case sau khi retrieval hoàn tất. ID, score, thứ tự top-k, corpus gốc, đáp án gold và thuật toán retrieval đều không thay đổi. Điều này tách rõ indirect prompt injection (Pair 1) khỏi knowledge-base poisoning (Pair 3).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B2545"/>
          <w:sz w:val="22"/>
        </w:rPr>
        <w:t>RAG/V2 là kết quả chính: Router → Retriever → Reasoner → Verifier chạy như baseline.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B2545"/>
          <w:sz w:val="22"/>
        </w:rPr>
        <w:t>Memory/V4 là mở rộng: memory được khởi tạo từ dev.jsonl; chỉ test.jsonl được đánh giá.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B2545"/>
          <w:sz w:val="22"/>
        </w:rPr>
        <w:t>Attack payload yêu cầu một target option sinh từ hash question ID và marker PWNED; ASR chỉ tính clean-correct, target khác gold.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B2545"/>
          <w:sz w:val="22"/>
        </w:rPr>
        <w:t>Mọi API condition là uncached để sanitizer không thể reuse clean output cho attack/defense.</w:t>
      </w:r>
    </w:p>
    <w:p>
      <w:pPr>
        <w:pStyle w:val="Heading1"/>
      </w:pPr>
      <w:r>
        <w:t>2. Kỹ thuật attack và defense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Năm family core theo Open-Prompt-Injection gồm Naive, Escape, Context-Ignoring, Fake-Completion và Combined. Payload được inject vào top-1 passage; ablation all-top-k inject vào mọi passage của snapshot. Stress suite đã khóa thêm Combined suffix và payload document-authority (giả mạo addendum kiểm định tài liệu) ở suffix/sandwich. Residual probes gồm delimiter near-miss, multilingual và Base64-encoded instruction.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Defense thực nghiệm là transparent input guard: tách lớp pipeline không đổi, lọc paragraph không tin cậy có role token, override instruction, Final Answer hoặc marker trước khi model đọc. Đây là engineering baseline, không phải StruQ: StruQ đầy đủ phải gồm secure frontend và model structured-instruction-tuned checkpoint.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500"/>
        <w:gridCol w:w="1700"/>
        <w:gridCol w:w="2100"/>
        <w:gridCol w:w="15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RAG signal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Clean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Combined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Authority stress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Guard stress</w:t>
            </w:r>
          </w:p>
        </w:tc>
      </w:tr>
      <w:tr>
        <w:tc>
          <w:tcPr>
            <w:tcW w:type="dxa" w:w="250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DeepSeek real calls</w:t>
            </w:r>
          </w:p>
        </w:tc>
        <w:tc>
          <w:tcPr>
            <w:tcW w:type="dxa" w:w="150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95%</w:t>
            </w:r>
          </w:p>
        </w:tc>
        <w:tc>
          <w:tcPr>
            <w:tcW w:type="dxa" w:w="170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90%</w:t>
            </w:r>
          </w:p>
        </w:tc>
        <w:tc>
          <w:tcPr>
            <w:tcW w:type="dxa" w:w="210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95%</w:t>
            </w:r>
          </w:p>
        </w:tc>
        <w:tc>
          <w:tcPr>
            <w:tcW w:type="dxa" w:w="156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100%</w:t>
            </w:r>
          </w:p>
        </w:tc>
      </w:tr>
    </w:tbl>
    <w:p>
      <w:pPr>
        <w:spacing w:after="40"/>
      </w:pPr>
    </w:p>
    <w:p>
      <w:pPr>
        <w:spacing w:before="40"/>
        <w:jc w:val="center"/>
      </w:pPr>
      <w:r>
        <w:rPr>
          <w:rFonts w:ascii="Calibri" w:hAnsi="Calibri"/>
          <w:b w:val="0"/>
          <w:i/>
          <w:color w:val="666666"/>
          <w:sz w:val="22"/>
        </w:rPr>
        <w:t>Hình 1. V2 RAG là kết quả chính; guard được ghi rõ là engineering baseline, không phải StruQ.</w:t>
      </w:r>
    </w:p>
    <w:p>
      <w:r>
        <w:br w:type="page"/>
      </w:r>
    </w:p>
    <w:p>
      <w:pPr>
        <w:pStyle w:val="Heading1"/>
      </w:pPr>
      <w:r>
        <w:t>3. Thiết kế benchmark và kiểm soát tái lập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Tập 20 câu được stratify 5 câu cho mỗi nhãn A–D, seed 14. Mọi condition dùng lại cùng snapshot hash; generation temperature=0 và parser là cố định. Trước/sau benchmark, script verify_midterm_baseline.py xác nhận SHA-256 của entrypoint và bốn agent giữa kỳ.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Artifact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Giá trị</w:t>
            </w:r>
          </w:p>
        </w:tc>
      </w:tr>
      <w:tr>
        <w:tc>
          <w:tcPr>
            <w:tcW w:type="dxa" w:w="24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Model</w:t>
            </w:r>
          </w:p>
        </w:tc>
        <w:tc>
          <w:tcPr>
            <w:tcW w:type="dxa" w:w="69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deepseek-chat</w:t>
            </w:r>
          </w:p>
        </w:tc>
      </w:tr>
      <w:tr>
        <w:tc>
          <w:tcPr>
            <w:tcW w:type="dxa" w:w="24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Real calls</w:t>
            </w:r>
          </w:p>
        </w:tc>
        <w:tc>
          <w:tcPr>
            <w:tcW w:type="dxa" w:w="69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350 (80 V4 memory + 120 V2 core + 120 V2 stress + 30 exploratory smoke; raw JSONL local, cache hit = 0)</w:t>
            </w:r>
          </w:p>
        </w:tc>
      </w:tr>
      <w:tr>
        <w:tc>
          <w:tcPr>
            <w:tcW w:type="dxa" w:w="24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Baseline check</w:t>
            </w:r>
          </w:p>
        </w:tc>
        <w:tc>
          <w:tcPr>
            <w:tcW w:type="dxa" w:w="69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5 protected source files match the frozen SHA-256 manifest</w:t>
            </w:r>
          </w:p>
        </w:tc>
      </w:tr>
      <w:tr>
        <w:tc>
          <w:tcPr>
            <w:tcW w:type="dxa" w:w="24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Main metrics</w:t>
            </w:r>
          </w:p>
        </w:tc>
        <w:tc>
          <w:tcPr>
            <w:tcW w:type="dxa" w:w="69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Accuracy; targeted ASR; marker ASR; bootstrap 95% CI; McNemar; latency; tokens; sanitization</w:t>
            </w:r>
          </w:p>
        </w:tc>
      </w:tr>
      <w:tr>
        <w:tc>
          <w:tcPr>
            <w:tcW w:type="dxa" w:w="24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Raw output policy</w:t>
            </w:r>
          </w:p>
        </w:tc>
        <w:tc>
          <w:tcPr>
            <w:tcW w:type="dxa" w:w="69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Raw JSONL/cache/index/.env ignored; summary JSON/CSV and code versioned</w:t>
            </w:r>
          </w:p>
        </w:tc>
      </w:tr>
    </w:tbl>
    <w:p>
      <w:pPr>
        <w:spacing w:after="40"/>
      </w:pPr>
    </w:p>
    <w:p>
      <w:pPr>
        <w:pStyle w:val="Heading1"/>
      </w:pPr>
      <w:r>
        <w:t>4. V2 RAG: attack → defense (kết quả chính)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300"/>
        <w:gridCol w:w="1500"/>
        <w:gridCol w:w="2300"/>
        <w:gridCol w:w="15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Condition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Correct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Accuracy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Targeted ASR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Sanitized</w:t>
            </w:r>
          </w:p>
        </w:tc>
      </w:tr>
      <w:tr>
        <w:tc>
          <w:tcPr>
            <w:tcW w:type="dxa" w:w="27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Clean baseline</w:t>
            </w:r>
          </w:p>
        </w:tc>
        <w:tc>
          <w:tcPr>
            <w:tcW w:type="dxa" w:w="13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19/20</w:t>
            </w:r>
          </w:p>
        </w:tc>
        <w:tc>
          <w:tcPr>
            <w:tcW w:type="dxa" w:w="15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95.0%</w:t>
            </w:r>
          </w:p>
        </w:tc>
        <w:tc>
          <w:tcPr>
            <w:tcW w:type="dxa" w:w="23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—</w:t>
            </w:r>
          </w:p>
        </w:tc>
        <w:tc>
          <w:tcPr>
            <w:tcW w:type="dxa" w:w="15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0%</w:t>
            </w:r>
          </w:p>
        </w:tc>
      </w:tr>
      <w:tr>
        <w:tc>
          <w:tcPr>
            <w:tcW w:type="dxa" w:w="27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Combined top-1 prefix</w:t>
            </w:r>
          </w:p>
        </w:tc>
        <w:tc>
          <w:tcPr>
            <w:tcW w:type="dxa" w:w="13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18/20</w:t>
            </w:r>
          </w:p>
        </w:tc>
        <w:tc>
          <w:tcPr>
            <w:tcW w:type="dxa" w:w="15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90.0%</w:t>
            </w:r>
          </w:p>
        </w:tc>
        <w:tc>
          <w:tcPr>
            <w:tcW w:type="dxa" w:w="23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1/12 (8.3%)</w:t>
            </w:r>
          </w:p>
        </w:tc>
        <w:tc>
          <w:tcPr>
            <w:tcW w:type="dxa" w:w="15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0%</w:t>
            </w:r>
          </w:p>
        </w:tc>
      </w:tr>
      <w:tr>
        <w:tc>
          <w:tcPr>
            <w:tcW w:type="dxa" w:w="27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Authority all-top-k sandwich</w:t>
            </w:r>
          </w:p>
        </w:tc>
        <w:tc>
          <w:tcPr>
            <w:tcW w:type="dxa" w:w="13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19/20</w:t>
            </w:r>
          </w:p>
        </w:tc>
        <w:tc>
          <w:tcPr>
            <w:tcW w:type="dxa" w:w="15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95.0%</w:t>
            </w:r>
          </w:p>
        </w:tc>
        <w:tc>
          <w:tcPr>
            <w:tcW w:type="dxa" w:w="23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1/12 (8.3%)</w:t>
            </w:r>
          </w:p>
        </w:tc>
        <w:tc>
          <w:tcPr>
            <w:tcW w:type="dxa" w:w="15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0%</w:t>
            </w:r>
          </w:p>
        </w:tc>
      </w:tr>
      <w:tr>
        <w:tc>
          <w:tcPr>
            <w:tcW w:type="dxa" w:w="27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Guard clean</w:t>
            </w:r>
          </w:p>
        </w:tc>
        <w:tc>
          <w:tcPr>
            <w:tcW w:type="dxa" w:w="13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20/20</w:t>
            </w:r>
          </w:p>
        </w:tc>
        <w:tc>
          <w:tcPr>
            <w:tcW w:type="dxa" w:w="15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100.0%</w:t>
            </w:r>
          </w:p>
        </w:tc>
        <w:tc>
          <w:tcPr>
            <w:tcW w:type="dxa" w:w="23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—</w:t>
            </w:r>
          </w:p>
        </w:tc>
        <w:tc>
          <w:tcPr>
            <w:tcW w:type="dxa" w:w="15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0%</w:t>
            </w:r>
          </w:p>
        </w:tc>
      </w:tr>
      <w:tr>
        <w:tc>
          <w:tcPr>
            <w:tcW w:type="dxa" w:w="270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Guard + authority</w:t>
            </w:r>
          </w:p>
        </w:tc>
        <w:tc>
          <w:tcPr>
            <w:tcW w:type="dxa" w:w="130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20/20</w:t>
            </w:r>
          </w:p>
        </w:tc>
        <w:tc>
          <w:tcPr>
            <w:tcW w:type="dxa" w:w="150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100.0%</w:t>
            </w:r>
          </w:p>
        </w:tc>
        <w:tc>
          <w:tcPr>
            <w:tcW w:type="dxa" w:w="230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0/13 (0%)</w:t>
            </w:r>
          </w:p>
        </w:tc>
        <w:tc>
          <w:tcPr>
            <w:tcW w:type="dxa" w:w="156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100%</w:t>
            </w:r>
          </w:p>
        </w:tc>
      </w:tr>
    </w:tbl>
    <w:p>
      <w:pPr>
        <w:spacing w:after="40"/>
      </w:pPr>
    </w:p>
    <w:p>
      <w:pPr/>
      <w:r>
        <w:rPr>
          <w:rFonts w:ascii="Calibri" w:hAnsi="Calibri"/>
          <w:b w:val="0"/>
          <w:i w:val="0"/>
          <w:color w:val="0B2545"/>
          <w:sz w:val="22"/>
        </w:rPr>
        <w:t>Kết luận V2 có giới hạn: DeepSeek bị target ở 1/12 câu đủ điều kiện, nhưng n=20 chưa quan sát accuracy collapse. Với authority stress, clean-vs-attack delta là 0 điểm (McNemar p=1.00); guard giảm measured targeted ASR 100% và accuracy attack cao hơn 1 câu, nhưng p=1.00. Những số này là evidence của attack surface và guard behavior, chưa phải bằng chứng mạnh về chênh lệch accuracy.</w:t>
      </w:r>
    </w:p>
    <w:p>
      <w:pPr>
        <w:pStyle w:val="Heading1"/>
      </w:pPr>
      <w:r>
        <w:t>5. Kiểm chứng phân tách baseline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Protected source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Trạng thái</w:t>
            </w:r>
          </w:p>
        </w:tc>
      </w:tr>
      <w:tr>
        <w:tc>
          <w:tcPr>
            <w:tcW w:type="dxa" w:w="39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entrypoint.py</w:t>
            </w:r>
          </w:p>
        </w:tc>
        <w:tc>
          <w:tcPr>
            <w:tcW w:type="dxa" w:w="54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không có diff so với midterm manifest</w:t>
            </w:r>
          </w:p>
        </w:tc>
      </w:tr>
      <w:tr>
        <w:tc>
          <w:tcPr>
            <w:tcW w:type="dxa" w:w="39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Memory/Reasoner/Researcher/Verifier agents</w:t>
            </w:r>
          </w:p>
        </w:tc>
        <w:tc>
          <w:tcPr>
            <w:tcW w:type="dxa" w:w="54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không có diff so với midterm manifest</w:t>
            </w:r>
          </w:p>
        </w:tc>
      </w:tr>
      <w:tr>
        <w:tc>
          <w:tcPr>
            <w:tcW w:type="dxa" w:w="39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Attack/defense code</w:t>
            </w:r>
          </w:p>
        </w:tc>
        <w:tc>
          <w:tcPr>
            <w:tcW w:type="dxa" w:w="54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chỉ tồn tại tại medqa_multiagent/security/harness.py và decorators</w:t>
            </w:r>
          </w:p>
        </w:tc>
      </w:tr>
    </w:tbl>
    <w:p>
      <w:pPr>
        <w:spacing w:after="40"/>
      </w:pPr>
    </w:p>
    <w:p>
      <w:pPr/>
      <w:r>
        <w:rPr>
          <w:rFonts w:ascii="Calibri" w:hAnsi="Calibri"/>
          <w:b w:val="0"/>
          <w:i w:val="0"/>
          <w:color w:val="0B2545"/>
          <w:sz w:val="22"/>
        </w:rPr>
        <w:t>Vì V4 gọi đúng Memory Agent, Router, Researcher và Reasoner gốc với một memory view decorator, chênh lệch kết quả được quy cho injected data/guard, không phải sửa prompt hoặc thay agent giữa kỳ.</w:t>
      </w:r>
    </w:p>
    <w:p>
      <w:r>
        <w:br w:type="page"/>
      </w:r>
    </w:p>
    <w:p>
      <w:pPr>
        <w:pStyle w:val="Heading1"/>
      </w:pPr>
      <w:r>
        <w:t>6. V4 long-term memory: mở rộng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300"/>
        <w:gridCol w:w="1500"/>
        <w:gridCol w:w="2300"/>
        <w:gridCol w:w="15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Condition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Correct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Accuracy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Targeted ASR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Sanitized</w:t>
            </w:r>
          </w:p>
        </w:tc>
      </w:tr>
      <w:tr>
        <w:tc>
          <w:tcPr>
            <w:tcW w:type="dxa" w:w="27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Baseline clean</w:t>
            </w:r>
          </w:p>
        </w:tc>
        <w:tc>
          <w:tcPr>
            <w:tcW w:type="dxa" w:w="13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20/20</w:t>
            </w:r>
          </w:p>
        </w:tc>
        <w:tc>
          <w:tcPr>
            <w:tcW w:type="dxa" w:w="15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100.0%</w:t>
            </w:r>
          </w:p>
        </w:tc>
        <w:tc>
          <w:tcPr>
            <w:tcW w:type="dxa" w:w="23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—</w:t>
            </w:r>
          </w:p>
        </w:tc>
        <w:tc>
          <w:tcPr>
            <w:tcW w:type="dxa" w:w="15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0%</w:t>
            </w:r>
          </w:p>
        </w:tc>
      </w:tr>
      <w:tr>
        <w:tc>
          <w:tcPr>
            <w:tcW w:type="dxa" w:w="27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Combined memory attack</w:t>
            </w:r>
          </w:p>
        </w:tc>
        <w:tc>
          <w:tcPr>
            <w:tcW w:type="dxa" w:w="13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18/20</w:t>
            </w:r>
          </w:p>
        </w:tc>
        <w:tc>
          <w:tcPr>
            <w:tcW w:type="dxa" w:w="15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90.0%</w:t>
            </w:r>
          </w:p>
        </w:tc>
        <w:tc>
          <w:tcPr>
            <w:tcW w:type="dxa" w:w="23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1/13 (7.7%)</w:t>
            </w:r>
          </w:p>
        </w:tc>
        <w:tc>
          <w:tcPr>
            <w:tcW w:type="dxa" w:w="15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0%</w:t>
            </w:r>
          </w:p>
        </w:tc>
      </w:tr>
      <w:tr>
        <w:tc>
          <w:tcPr>
            <w:tcW w:type="dxa" w:w="27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Guard clean</w:t>
            </w:r>
          </w:p>
        </w:tc>
        <w:tc>
          <w:tcPr>
            <w:tcW w:type="dxa" w:w="13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20/20</w:t>
            </w:r>
          </w:p>
        </w:tc>
        <w:tc>
          <w:tcPr>
            <w:tcW w:type="dxa" w:w="15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100.0%</w:t>
            </w:r>
          </w:p>
        </w:tc>
        <w:tc>
          <w:tcPr>
            <w:tcW w:type="dxa" w:w="23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—</w:t>
            </w:r>
          </w:p>
        </w:tc>
        <w:tc>
          <w:tcPr>
            <w:tcW w:type="dxa" w:w="15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0%</w:t>
            </w:r>
          </w:p>
        </w:tc>
      </w:tr>
      <w:tr>
        <w:tc>
          <w:tcPr>
            <w:tcW w:type="dxa" w:w="270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Guard + Combined</w:t>
            </w:r>
          </w:p>
        </w:tc>
        <w:tc>
          <w:tcPr>
            <w:tcW w:type="dxa" w:w="130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20/20</w:t>
            </w:r>
          </w:p>
        </w:tc>
        <w:tc>
          <w:tcPr>
            <w:tcW w:type="dxa" w:w="150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100.0%</w:t>
            </w:r>
          </w:p>
        </w:tc>
        <w:tc>
          <w:tcPr>
            <w:tcW w:type="dxa" w:w="230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0/13 (0%)</w:t>
            </w:r>
          </w:p>
        </w:tc>
        <w:tc>
          <w:tcPr>
            <w:tcW w:type="dxa" w:w="156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100%</w:t>
            </w:r>
          </w:p>
        </w:tc>
      </w:tr>
    </w:tbl>
    <w:p>
      <w:pPr>
        <w:spacing w:after="40"/>
      </w:pPr>
    </w:p>
    <w:p>
      <w:pPr/>
      <w:r>
        <w:rPr>
          <w:rFonts w:ascii="Calibri" w:hAnsi="Calibri"/>
          <w:b w:val="0"/>
          <w:i w:val="0"/>
          <w:color w:val="0B2545"/>
          <w:sz w:val="22"/>
        </w:rPr>
        <w:t>V4 cho causal chain rõ nhất: clean correct → retrieved-memory injection làm sai hai câu, trong đó một câu đi đúng target attacker → guard loại paragraph độc hại và khôi phục cả hai. Relative targeted-ASR reduction và recovery đều 100%; guard clean giữ nguyên 100%. Với n=20, McNemar cho attack và recovery đều p=0.50, nên report nêu effect size nhưng không khẳng định significance.</w:t>
      </w:r>
    </w:p>
    <w:p>
      <w:r>
        <w:br w:type="page"/>
      </w:r>
    </w:p>
    <w:p>
      <w:pPr>
        <w:pStyle w:val="Heading1"/>
      </w:pPr>
      <w:r>
        <w:t>7. Residual probes, limitations và hướng tiếp theo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5560"/>
      </w:tblGrid>
      <w:t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Residual scope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Trạng thái</w:t>
            </w:r>
          </w:p>
        </w:tc>
      </w:tr>
      <w:tr>
        <w:tc>
          <w:tcPr>
            <w:tcW w:type="dxa" w:w="38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RAG/V2 five-family matrix</w:t>
            </w:r>
          </w:p>
        </w:tc>
        <w:tc>
          <w:tcPr>
            <w:tcW w:type="dxa" w:w="55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đã chạy source-frozen n=20; attack mạnh nhất giảm 5 điểm ở Combined/Escape</w:t>
            </w:r>
          </w:p>
        </w:tc>
      </w:tr>
      <w:tr>
        <w:tc>
          <w:tcPr>
            <w:tcW w:type="dxa" w:w="38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R2 Chained-Completion smoke</w:t>
            </w:r>
          </w:p>
        </w:tc>
        <w:tc>
          <w:tcPr>
            <w:tcW w:type="dxa" w:w="55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đã chạy 5 câu; delivery 5/5 nhưng accuracy 5/5, ASR 0/3 (negative result)</w:t>
            </w:r>
          </w:p>
        </w:tc>
      </w:tr>
      <w:tr>
        <w:tc>
          <w:tcPr>
            <w:tcW w:type="dxa" w:w="38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R3 high-pressure memory smoke</w:t>
            </w:r>
          </w:p>
        </w:tc>
        <w:tc>
          <w:tcPr>
            <w:tcW w:type="dxa" w:w="55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all-retrieved-exemplar, sandwich, repeat ×3: 5/5, ASR 0/3 (negative result)</w:t>
            </w:r>
          </w:p>
        </w:tc>
      </w:tr>
      <w:tr>
        <w:tc>
          <w:tcPr>
            <w:tcW w:type="dxa" w:w="38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R4 five-shot context smoke</w:t>
            </w:r>
          </w:p>
        </w:tc>
        <w:tc>
          <w:tcPr>
            <w:tcW w:type="dxa" w:w="55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5 fake Q/A in copied top-1 passage, excluded from scoring: 5/5, ASR 0/3 (negative result)</w:t>
            </w:r>
          </w:p>
        </w:tc>
      </w:tr>
      <w:tr>
        <w:tc>
          <w:tcPr>
            <w:tcW w:type="dxa" w:w="38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Delimiter near-miss / multilingual / encoded</w:t>
            </w:r>
          </w:p>
        </w:tc>
        <w:tc>
          <w:tcPr>
            <w:tcW w:type="dxa" w:w="55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đã implement; phải chạy ở batch n=100 confirmatory</w:t>
            </w:r>
          </w:p>
        </w:tc>
      </w:tr>
      <w:tr>
        <w:tc>
          <w:tcPr>
            <w:tcW w:type="dxa" w:w="38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Official StruQ checkpoint</w:t>
            </w:r>
          </w:p>
        </w:tc>
        <w:tc>
          <w:tcPr>
            <w:tcW w:type="dxa" w:w="55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chưa chạy vì host không có GPU NVIDIA/checkpoint phù hợp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B2545"/>
          <w:sz w:val="22"/>
        </w:rPr>
        <w:t>GCG/optimization-based attack chưa được chạy: host không có GPU NVIDIA phù hợp cho official StruQ setup. Đây là residual gap, không phải claim defense tuyệt đối.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B2545"/>
          <w:sz w:val="22"/>
        </w:rPr>
        <w:t>R2 guard canonicalizes zero-width Unicode, role-boundary token và suspicious Base64 instruction. Marker ASR chỉ tính output model, không tính trace; guard vẫn có thể bỏ sót obfuscation mới và cần matched StruQ model để giảm trade-off.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B2545"/>
          <w:sz w:val="22"/>
        </w:rPr>
        <w:t>n=20 là evaluation thật có kiểm soát nhưng CI rộng; mở rộng đúng snapshot protocol lên n=100 là bước tiếp theo khi có ngân sách API.</w:t>
      </w:r>
    </w:p>
    <w:p>
      <w:r>
        <w:br w:type="page"/>
      </w:r>
    </w:p>
    <w:p>
      <w:pPr>
        <w:pStyle w:val="Heading1"/>
      </w:pPr>
      <w:r>
        <w:t>8. Reproduce và demo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Lệnh tái lập chính nằm trong README.md: trước hết chạy scripts/verify_midterm_baseline.py, sau đó freeze snapshot DeepSeek và chạy harness ngoài baseline. Summary versioned: results/security/deepseek20_rag_combined_summary.json/csv và results/security/deepseek20_frozen_memory_summary.json/csv. Raw prediction JSONL bị gitignore để không commit prompt/trace và chi phí không cần thiết.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Demo nên chọn một trong hai case recovered từ raw trace: clean trả gold → Combined memory payload làm sai → input guard khôi phục. Chỉ dùng examples có trace thật, không viết lại để phù hợp narrative.</w:t>
      </w:r>
    </w:p>
    <w:p>
      <w:pPr>
        <w:pStyle w:val="Heading1"/>
      </w:pPr>
      <w:r>
        <w:t>Tài liệu tham khảo</w:t>
      </w:r>
    </w:p>
    <w:p>
      <w:pPr/>
      <w:r>
        <w:rPr>
          <w:rFonts w:ascii="Calibri" w:hAnsi="Calibri"/>
          <w:b w:val="0"/>
          <w:i w:val="0"/>
          <w:color w:val="666666"/>
          <w:sz w:val="22"/>
        </w:rPr>
        <w:t>[1] Yupei Liu et al. Formalizing and Benchmarking Prompt Injection Attacks and Defenses. USENIX Security 2024. Official toolkit: github.com/liu00222/Open-Prompt-Injection.</w:t>
      </w:r>
    </w:p>
    <w:p>
      <w:pPr/>
      <w:r>
        <w:rPr>
          <w:rFonts w:ascii="Calibri" w:hAnsi="Calibri"/>
          <w:b w:val="0"/>
          <w:i w:val="0"/>
          <w:color w:val="666666"/>
          <w:sz w:val="22"/>
        </w:rPr>
        <w:t>[2] Sizhe Chen et al. StruQ: Defending Against Prompt Injection with Structured Queries. USENIX Security 2025. Official implementation: github.com/Sizhe-Chen/StruQ.</w:t>
      </w:r>
    </w:p>
    <w:p>
      <w:pPr/>
      <w:r>
        <w:rPr>
          <w:rFonts w:ascii="Calibri" w:hAnsi="Calibri"/>
          <w:b w:val="0"/>
          <w:i w:val="0"/>
          <w:color w:val="666666"/>
          <w:sz w:val="22"/>
        </w:rPr>
        <w:t>[3] Project artifacts: security/midterm_baseline_manifest.json; security/deepseek_exploratory_r2_protocol.json; security/deepseek_memory_highpressure_r3_protocol.json; security/deepseek_rag_fewshot_r4_protocol.json; medqa_multiagent/security/harness.py; results/security/deepseek20_rag_combined_summary.json; results/security/deepseek20_frozen_memory_summary.json; scripts/run_security_eval.py.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6666"/>
        <w:sz w:val="18"/>
      </w:rPr>
      <w:t xml:space="preserve">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i w:val="0"/>
        <w:color w:val="666666"/>
        <w:sz w:val="18"/>
      </w:rPr>
      <w:t>ML-Sec | Pair 1 — Prompt Injection Security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