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2B7" w:rsidRPr="002D22B7" w:rsidRDefault="002D22B7" w:rsidP="002D22B7">
      <w:pPr>
        <w:widowControl/>
        <w:spacing w:after="150" w:line="518" w:lineRule="atLeast"/>
        <w:jc w:val="left"/>
        <w:outlineLvl w:val="0"/>
        <w:rPr>
          <w:rFonts w:ascii="roboto" w:eastAsia="MS PGothic" w:hAnsi="roboto" w:cs="MS PGothic"/>
          <w:b/>
          <w:bCs/>
          <w:color w:val="000000"/>
          <w:kern w:val="36"/>
          <w:sz w:val="24"/>
          <w:szCs w:val="24"/>
        </w:rPr>
      </w:pPr>
      <w:r w:rsidRPr="002D22B7">
        <w:rPr>
          <w:rFonts w:ascii="roboto" w:eastAsia="MS PGothic" w:hAnsi="roboto" w:cs="MS PGothic"/>
          <w:b/>
          <w:bCs/>
          <w:color w:val="000000"/>
          <w:kern w:val="36"/>
          <w:sz w:val="24"/>
          <w:szCs w:val="24"/>
        </w:rPr>
        <w:t>Thủ tục thành lập quỹ đầu tư chứng khoán</w:t>
      </w:r>
    </w:p>
    <w:p w:rsidR="002D22B7" w:rsidRPr="002D22B7" w:rsidRDefault="002D22B7" w:rsidP="002D22B7">
      <w:pPr>
        <w:widowControl/>
        <w:shd w:val="clear" w:color="auto" w:fill="FFFFFF"/>
        <w:spacing w:after="360" w:line="330" w:lineRule="atLeast"/>
        <w:rPr>
          <w:rFonts w:ascii="roboto" w:eastAsia="MS PGothic" w:hAnsi="roboto" w:cs="MS PGothic"/>
          <w:color w:val="000000"/>
          <w:kern w:val="0"/>
          <w:sz w:val="24"/>
          <w:szCs w:val="24"/>
        </w:rPr>
      </w:pPr>
      <w:r w:rsidRPr="002D22B7">
        <w:rPr>
          <w:rFonts w:ascii="roboto" w:eastAsia="MS PGothic" w:hAnsi="roboto" w:cs="Arial"/>
          <w:b/>
          <w:bCs/>
          <w:color w:val="000000"/>
          <w:kern w:val="0"/>
          <w:sz w:val="24"/>
          <w:szCs w:val="24"/>
        </w:rPr>
        <w:t>Thủ tục thành lập quỹ đầu tư chứng khoán. Tôi muốn mở một công ty đầu tư dạng quỹ dầu tư chứng khoán thì thủ tục như thế nào?</w:t>
      </w:r>
    </w:p>
    <w:p w:rsidR="00FC3C7D" w:rsidRDefault="002D22B7">
      <w:pPr>
        <w:rPr>
          <w:rStyle w:val="Emphasis"/>
          <w:rFonts w:ascii="Arial" w:hAnsi="Arial" w:cs="Arial"/>
          <w:b/>
          <w:bCs/>
          <w:color w:val="000000"/>
          <w:shd w:val="clear" w:color="auto" w:fill="FFFFFF"/>
        </w:rPr>
      </w:pPr>
      <w:r>
        <w:rPr>
          <w:rStyle w:val="Emphasis"/>
          <w:rFonts w:ascii="Arial" w:hAnsi="Arial" w:cs="Arial"/>
          <w:b/>
          <w:bCs/>
          <w:color w:val="000000"/>
          <w:shd w:val="clear" w:color="auto" w:fill="FFFFFF"/>
        </w:rPr>
        <w:t>Tóm tắt câu hỏi:</w:t>
      </w:r>
    </w:p>
    <w:p w:rsidR="002D22B7" w:rsidRDefault="002D22B7">
      <w:pPr>
        <w:rPr>
          <w:rFonts w:ascii="Arial" w:hAnsi="Arial" w:cs="Arial"/>
          <w:color w:val="000000"/>
          <w:shd w:val="clear" w:color="auto" w:fill="FFFFFF"/>
        </w:rPr>
      </w:pPr>
      <w:r>
        <w:rPr>
          <w:rFonts w:ascii="Arial" w:hAnsi="Arial" w:cs="Arial"/>
          <w:color w:val="000000"/>
          <w:shd w:val="clear" w:color="auto" w:fill="FFFFFF"/>
        </w:rPr>
        <w:t>Tôi và bạn tôi đang có ý định lập 1 công ty đầu tư dưới dạng quỹ đầu tư nhằm thu hút vốn bên ngoài đầu tư vào các công ty trên sàn chứng khoán vậy thủ tục thành lập là gì? Dạng công ty là CTCP hay công ty TNHH. Tôi và bạn tôi không có bằng đại học thì có thành lập được không? Tôi xin cám ơn!</w:t>
      </w:r>
    </w:p>
    <w:p w:rsidR="002D22B7" w:rsidRDefault="002D22B7">
      <w:pPr>
        <w:rPr>
          <w:rFonts w:ascii="Arial" w:hAnsi="Arial" w:cs="Arial"/>
          <w:color w:val="000000"/>
          <w:shd w:val="clear" w:color="auto" w:fill="FFFFFF"/>
        </w:rPr>
      </w:pPr>
    </w:p>
    <w:p w:rsidR="002D22B7" w:rsidRDefault="002D22B7" w:rsidP="002D22B7">
      <w:pPr>
        <w:rPr>
          <w:rStyle w:val="Emphasis"/>
          <w:rFonts w:ascii="roboto" w:hAnsi="roboto"/>
          <w:b/>
          <w:bCs/>
          <w:color w:val="000000"/>
          <w:shd w:val="clear" w:color="auto" w:fill="FFFFFF"/>
        </w:rPr>
      </w:pPr>
      <w:r>
        <w:rPr>
          <w:rStyle w:val="Emphasis"/>
          <w:rFonts w:ascii="roboto" w:hAnsi="roboto"/>
          <w:b/>
          <w:bCs/>
          <w:color w:val="000000"/>
          <w:shd w:val="clear" w:color="auto" w:fill="FFFFFF"/>
        </w:rPr>
        <w:t>Luật sư tư vấn:</w:t>
      </w:r>
    </w:p>
    <w:p w:rsidR="002D22B7" w:rsidRDefault="002D22B7" w:rsidP="002D22B7">
      <w:pPr>
        <w:rPr>
          <w:rFonts w:ascii="roboto" w:hAnsi="roboto"/>
          <w:color w:val="000000"/>
        </w:rPr>
      </w:pPr>
      <w:r>
        <w:rPr>
          <w:rFonts w:ascii="Arial" w:hAnsi="Arial" w:cs="Arial"/>
          <w:color w:val="000000"/>
        </w:rPr>
        <w:t>Cám ơn bạn đã gửi câu hỏi của mình đến Ban biên tập – Phòng tư vấn trực tuyến của Công ty </w:t>
      </w:r>
      <w:hyperlink r:id="rId5" w:history="1">
        <w:r>
          <w:rPr>
            <w:rStyle w:val="Strong"/>
            <w:rFonts w:ascii="roboto" w:hAnsi="roboto" w:cs="Arial"/>
            <w:color w:val="1275CC"/>
          </w:rPr>
          <w:t>LUẬT DƯƠNG GIA</w:t>
        </w:r>
      </w:hyperlink>
      <w:r>
        <w:rPr>
          <w:rFonts w:ascii="Arial" w:hAnsi="Arial" w:cs="Arial"/>
          <w:color w:val="000000"/>
        </w:rPr>
        <w:t>. Với thắc mắc của bạn, Công ty </w:t>
      </w:r>
      <w:hyperlink r:id="rId6" w:history="1">
        <w:r>
          <w:rPr>
            <w:rStyle w:val="Strong"/>
            <w:rFonts w:ascii="roboto" w:hAnsi="roboto" w:cs="Arial"/>
            <w:color w:val="1275CC"/>
          </w:rPr>
          <w:t>LUẬT DƯƠNG GIA</w:t>
        </w:r>
      </w:hyperlink>
      <w:r>
        <w:rPr>
          <w:rFonts w:ascii="Arial" w:hAnsi="Arial" w:cs="Arial"/>
          <w:color w:val="000000"/>
        </w:rPr>
        <w:t> xin được đưa ra quan điểm tư vấn của mình như sau:</w:t>
      </w:r>
    </w:p>
    <w:p w:rsidR="002D22B7" w:rsidRDefault="002D22B7" w:rsidP="002D22B7">
      <w:pPr>
        <w:pStyle w:val="NormalWeb"/>
        <w:shd w:val="clear" w:color="auto" w:fill="FFFFFF"/>
        <w:spacing w:after="360" w:afterAutospacing="0"/>
        <w:jc w:val="both"/>
        <w:rPr>
          <w:rFonts w:ascii="roboto" w:hAnsi="roboto"/>
          <w:color w:val="000000"/>
        </w:rPr>
      </w:pPr>
      <w:r>
        <w:rPr>
          <w:rFonts w:ascii="Arial" w:hAnsi="Arial" w:cs="Arial"/>
          <w:color w:val="000000"/>
        </w:rPr>
        <w:t>Theo quy định tại </w:t>
      </w:r>
      <w:hyperlink r:id="rId7" w:history="1">
        <w:r>
          <w:rPr>
            <w:rStyle w:val="Hyperlink"/>
            <w:rFonts w:ascii="roboto" w:hAnsi="roboto" w:cs="Arial"/>
            <w:color w:val="1275CC"/>
          </w:rPr>
          <w:t>Luật chứng khoán hợp nhất 27/2013/VBHN-VPQH</w:t>
        </w:r>
      </w:hyperlink>
      <w:r>
        <w:rPr>
          <w:rFonts w:ascii="Arial" w:hAnsi="Arial" w:cs="Arial"/>
          <w:color w:val="000000"/>
        </w:rPr>
        <w:t> thì bạn có thể đấu từ chứng khoán theo Các loại hình quỹ đầu tư chứng khoán gồm</w:t>
      </w:r>
      <w:r>
        <w:rPr>
          <w:rStyle w:val="Strong"/>
          <w:rFonts w:ascii="roboto" w:hAnsi="roboto" w:cs="Arial"/>
          <w:color w:val="000000"/>
        </w:rPr>
        <w:t>: </w:t>
      </w:r>
      <w:r>
        <w:rPr>
          <w:rFonts w:ascii="Arial" w:hAnsi="Arial" w:cs="Arial"/>
          <w:color w:val="000000"/>
        </w:rPr>
        <w:t>Quỹ đầu tư chứng khoán bao gồm quỹ đại chúng và quỹ thành viên và Quỹ đại chúng bao gồm quỹ mở và quỹ đóng.</w:t>
      </w:r>
    </w:p>
    <w:p w:rsidR="002D22B7" w:rsidRDefault="002D22B7" w:rsidP="002D22B7">
      <w:pPr>
        <w:pStyle w:val="NormalWeb"/>
        <w:shd w:val="clear" w:color="auto" w:fill="FFFFFF"/>
        <w:spacing w:after="360" w:afterAutospacing="0"/>
        <w:jc w:val="both"/>
        <w:rPr>
          <w:rFonts w:ascii="roboto" w:hAnsi="roboto"/>
          <w:color w:val="000000"/>
        </w:rPr>
      </w:pPr>
      <w:r>
        <w:rPr>
          <w:rStyle w:val="Strong"/>
          <w:rFonts w:ascii="roboto" w:hAnsi="roboto" w:cs="Arial"/>
          <w:i/>
          <w:iCs/>
          <w:color w:val="000000"/>
        </w:rPr>
        <w:t>Điều 83. Thành lập quỹ đầu tư chứng khoán</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Arial" w:hAnsi="Arial" w:cs="Arial"/>
          <w:color w:val="000000"/>
        </w:rPr>
        <w:t>1. Việc thành lập và chào bán chứng chỉ quỹ ra công chúng của quỹ đại chúng do công ty quản lý quỹ thực hiện theo quy định tại Điều 90 của Luật này và phải đăng ký với Uỷ ban Chứng khoán Nhà nước.</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Arial" w:hAnsi="Arial" w:cs="Arial"/>
          <w:color w:val="000000"/>
        </w:rPr>
        <w:t>2. Việc thành lập quỹ thành viên do công ty quản lý quỹ thực hiện theo quy định tại Điều 95 của Luật này và phải báo cáo Uỷ ban chứng khoán Nhà nước.</w:t>
      </w:r>
    </w:p>
    <w:p w:rsidR="002D22B7" w:rsidRDefault="002D22B7" w:rsidP="002D22B7">
      <w:pPr>
        <w:pStyle w:val="NormalWeb"/>
        <w:shd w:val="clear" w:color="auto" w:fill="FFFFFF"/>
        <w:spacing w:after="360" w:afterAutospacing="0"/>
        <w:jc w:val="both"/>
        <w:rPr>
          <w:rFonts w:ascii="roboto" w:hAnsi="roboto"/>
          <w:color w:val="000000"/>
        </w:rPr>
      </w:pPr>
      <w:r>
        <w:rPr>
          <w:rFonts w:ascii="Arial" w:hAnsi="Arial" w:cs="Arial"/>
          <w:color w:val="000000"/>
        </w:rPr>
        <w:t>Theo quy định tại </w:t>
      </w:r>
      <w:hyperlink r:id="rId8" w:history="1">
        <w:r>
          <w:rPr>
            <w:rStyle w:val="Hyperlink"/>
            <w:rFonts w:ascii="roboto" w:hAnsi="roboto" w:cs="Arial"/>
            <w:color w:val="1275CC"/>
          </w:rPr>
          <w:t>Thông tư 224/2012/TT-BTC</w:t>
        </w:r>
      </w:hyperlink>
      <w:r>
        <w:rPr>
          <w:rFonts w:ascii="Arial" w:hAnsi="Arial" w:cs="Arial"/>
          <w:color w:val="000000"/>
        </w:rPr>
        <w:t> thì trong việc thành lập quỹ thành viên như sau:</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Điều 21. Thành lập quỹ thành viên</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1. Quỹ thành viên do thành viên đáp ứng quy định tại điểm b khoản 2 Điều này góp vốn thành lập trên cơ sở biên bản thoả thuận góp vốn và điều lệ quỹ.</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lastRenderedPageBreak/>
        <w:t>2. Việc thành lập quỹ thành viên phải báo cáo Ủy ban Chứng khoán Nhà nước và đáp ứng các điều kiện sau:</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a)   Vốn thực góp tối thiểu là năm mươi (50) tỷ đồng Việt Nam;</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b)  Có tối đa ba mươi (30) thành viên góp vốn và chỉ bao gồm thành viên là pháp nhân trong nước, tổ chức nước ngoài;</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c)   Do một công ty quản lý quỹ đáp ứng quy định tại điểm b và điểm c khoản 2 Điều 4 Thông tư này quản lý;</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d)  Tài sản của quỹ được lưu ký tại một ngân hàng lưu ký độc lập với công ty quản lý quỹ.</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3. Hồ sơ báo cáo về việc thành lập quỹ thành viên bao gồm các tài liệu sau:</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a)   Giấy đề nghị đăng ký hoạt động cho quỹ thành viên do công ty quản lý quỹ lập theo mẫu quy định tại phụ lục số 03 ban hành kèm theo Thông tư này;</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b)  Điều lệ quỹ, bao gồm các nội dung có liên quan theo mẫu quy định tại phụ lục số 11 ban hành kèm theo Thông tư này;</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c)   Bản cáo bạch, trong đó tại trang bìa của bản cáo bạch phải nêu rõ nguyên tắc  hoạt động của quỹ: “Quỹ này không phải tuân thủ các quy định pháp luật điều chỉnh hoạt động đầu tư của quỹ đầu tư chứng khoán thực hiện chào bán chứng chỉ quỹ ra công chúng. Việc đầu tư vào quỹ này chỉ phù hợp đối với các tổ chức sẵn sàng chấp nhận mức rủi ro cao tiềm tàng từ việc đầu tư của quỹ. Tổ chức đầu tư vào quỹ này cần cân nhắc kỹ trước khi tham gia góp vốn, quyết định đầu tư”;</w:t>
      </w:r>
    </w:p>
    <w:p w:rsidR="002D22B7" w:rsidRDefault="002D22B7" w:rsidP="002D22B7">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d)  Hợp đồng lưu ký tài sản;</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đ) Biên bản thoả thuận góp vốn, danh sách các tổ chức tham gia góp vốn theo mẫu quy định tại phụ lục số 12 ban hành kèm theo Thông tư này và các tài liệu sau:</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 xml:space="preserve">–    Bản sao có chứng thực quyết định thành lập, giấy chứng nhận đăng ký kinh doanh hoặc tài liệu tương đương khác của thành viên góp vốn. Đối với thành viên là tổ chức </w:t>
      </w:r>
      <w:r>
        <w:rPr>
          <w:rStyle w:val="Emphasis"/>
          <w:rFonts w:ascii="roboto" w:hAnsi="roboto" w:cs="Arial"/>
          <w:color w:val="000000"/>
        </w:rPr>
        <w:lastRenderedPageBreak/>
        <w:t>nước ngoài thì bản sao giấy chứng nhận đăng ký kinh doanh hoặc tài liệu tương đương phải có chứng thực của cơ quan nơi tổ chức đó đã đăng ký không quá sáu (06) tháng trước ngày hoàn tất hồ sơ đăng ký lập quỹ và phải được dịch công chứng theo quy định của pháp luật liên quan;</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    Biên bản họp và quyết định của đại hội đồng cổ đông hoặc hội đồng quản trị, quyết định của hội đồng thành viên hoặc của chủ sở hữu phù hợp với quy định tại điều lệ công ty của tổ chức góp vốn về việc tham gia góp vốn vào quỹ, về việc cử người đại diện phần vốn góp theo uỷ quyền kèm theo hồ sơ cá nhân của người này;</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    Bản sao giấy chứng nhận đăng ký mã số giao dịch chứng khoán của tổ chức nước ngoài;</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e) Giấy xác nhận của ngân hàng lưu ký về quy mô vốn đã góp.</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4. Hồ sơ báo cáo về việc thành lập quỹ thành viên được lập thành một (01) bộ gốc kèm theo tệp dữ liệu điện tử. Bộ hồ sơ gốc được gửi trực tiếp Ủy ban Chứng khoán Nhà nước hoặc gửi qua đường bưu điện.</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5. Công ty quản lý quỹ chịu trách nhiệm bảo đảm các thông tin trong hồ sơ phải đầy đủ, chính xác, trung thực. Trong thời gian hồ sơ đang được xem xét, công ty quản lý quỹ có nghĩa vụ cập nhật, sửa đổi, bổ sung hồ sơ nếu phát hiện thông tin không chính xác, phát sinh thông tin quan trọng, hoặc bỏ sót thông tin quan trọng theo quy định phải có trong hồ sơ. Văn bản sửa đổi, bổ sung phải có chữ ký của những người đã ký trong hồ sơ hoặc của những người có cùng chức danh với những người đó hoặc của người đại diện theo pháp luật của công ty.</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6. Công ty quản lý quỹ và các tổ chức tham gia góp vốn thành lập quỹ thành viên không được sử dụng các phương tiện thông tin đại chúng để quảng cáo, kêu gọi góp vốn.</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t>7. Trong thời hạn mười lăm (15) ngày kể từ ngày nhận được đầy đủ hồ sơ  theo quy định tại khoản 3 Điều này, Uỷ ban Chứng khoán Nhà nước thông báo bằng văn bản xác nhận công ty quản lý quỹ đã báo cáo về việc thành lập quỹ thành viên. Trường hợp từ chối, Ủy ban Chứng khoán Nhà nước phải trả lời bằng văn bản và nêu rõ lý do.</w:t>
      </w:r>
    </w:p>
    <w:p w:rsidR="00907E26" w:rsidRDefault="00907E26" w:rsidP="00907E26">
      <w:pPr>
        <w:pStyle w:val="NormalWeb"/>
        <w:shd w:val="clear" w:color="auto" w:fill="FFFFFF"/>
        <w:spacing w:after="360" w:afterAutospacing="0"/>
        <w:jc w:val="both"/>
        <w:rPr>
          <w:rFonts w:ascii="roboto" w:hAnsi="roboto"/>
          <w:color w:val="000000"/>
        </w:rPr>
      </w:pPr>
      <w:r>
        <w:rPr>
          <w:rStyle w:val="Emphasis"/>
          <w:rFonts w:ascii="roboto" w:hAnsi="roboto" w:cs="Arial"/>
          <w:color w:val="000000"/>
        </w:rPr>
        <w:lastRenderedPageBreak/>
        <w:t>8. Trong thời hạn năm (05) ngày, kể ngày nhận được thông báo của Ủy ban Chứng khoán Nhà nước, công ty quản lý quỹ công bố thông tin về việc thành lập quỹ thành viên theo quy định tại khoản 4 Điều 3 Thông tư này. Vốn của quỹ thành viên chỉ được giải ngân sau khi có thông báo của Uỷ ban Chứng khoán Nhà nước.</w:t>
      </w:r>
    </w:p>
    <w:p w:rsidR="00907E26" w:rsidRDefault="00907E26" w:rsidP="00907E26">
      <w:pPr>
        <w:pStyle w:val="NormalWeb"/>
        <w:shd w:val="clear" w:color="auto" w:fill="FFFFFF"/>
        <w:spacing w:after="360" w:afterAutospacing="0"/>
        <w:jc w:val="both"/>
        <w:rPr>
          <w:rFonts w:ascii="roboto" w:hAnsi="roboto"/>
          <w:color w:val="000000"/>
        </w:rPr>
      </w:pPr>
      <w:r>
        <w:rPr>
          <w:rFonts w:ascii="Arial" w:hAnsi="Arial" w:cs="Arial"/>
          <w:color w:val="000000"/>
        </w:rPr>
        <w:t>Việc bạn thành lập quỹ này không có quy định yêu cầu về bằng đại học và việc bạn thành lập theo mô hình công ty nào thì bạn hoàn toàn có thể lựa chọn sao cho phù hợp với nhu cầu của mình.</w:t>
      </w:r>
    </w:p>
    <w:p w:rsidR="00907E26" w:rsidRDefault="00907E26" w:rsidP="00907E26">
      <w:pPr>
        <w:pStyle w:val="NormalWeb"/>
        <w:shd w:val="clear" w:color="auto" w:fill="FFFFFF"/>
        <w:spacing w:after="0" w:afterAutospacing="0"/>
        <w:jc w:val="both"/>
        <w:rPr>
          <w:rFonts w:ascii="roboto" w:hAnsi="roboto"/>
          <w:color w:val="000000"/>
        </w:rPr>
      </w:pPr>
      <w:r>
        <w:rPr>
          <w:rFonts w:ascii="Arial" w:hAnsi="Arial" w:cs="Arial"/>
          <w:color w:val="000000"/>
        </w:rPr>
        <w:t>Hy vọng rằng sự tư vấn của chúng tôi sẽ giúp bạn lựa chọn phương án thích hợp nhất để giải quyết những vướng mắc của bạn. Nếu còn bất cứ thắc mắc gì liên quan đến sự việc bạn có thể liên hệ </w:t>
      </w:r>
      <w:hyperlink r:id="rId9" w:history="1">
        <w:r>
          <w:rPr>
            <w:rStyle w:val="Hyperlink"/>
            <w:rFonts w:ascii="roboto" w:hAnsi="roboto" w:cs="Arial"/>
            <w:b/>
            <w:bCs/>
            <w:color w:val="1275CC"/>
          </w:rPr>
          <w:t>Tổng đài tư vấn pháp luật trực tuyến 24/7 của Luật sư:</w:t>
        </w:r>
      </w:hyperlink>
      <w:r>
        <w:rPr>
          <w:rStyle w:val="Strong"/>
          <w:rFonts w:ascii="roboto" w:hAnsi="roboto" w:cs="Arial"/>
          <w:color w:val="000000"/>
          <w:sz w:val="30"/>
          <w:szCs w:val="30"/>
        </w:rPr>
        <w:t> </w:t>
      </w:r>
      <w:hyperlink r:id="rId10" w:history="1">
        <w:r>
          <w:rPr>
            <w:rStyle w:val="Strong"/>
            <w:rFonts w:ascii="roboto" w:hAnsi="roboto" w:cs="Arial"/>
            <w:color w:val="800000"/>
          </w:rPr>
          <w:t>1900.6568</w:t>
        </w:r>
      </w:hyperlink>
      <w:r>
        <w:rPr>
          <w:rFonts w:ascii="roboto" w:hAnsi="roboto" w:cs="Arial"/>
          <w:color w:val="000000"/>
          <w:sz w:val="30"/>
          <w:szCs w:val="30"/>
        </w:rPr>
        <w:t> </w:t>
      </w:r>
      <w:r>
        <w:rPr>
          <w:rFonts w:ascii="Arial" w:hAnsi="Arial" w:cs="Arial"/>
          <w:color w:val="000000"/>
        </w:rPr>
        <w:t>để được giải đáp</w:t>
      </w:r>
    </w:p>
    <w:p w:rsidR="002D22B7" w:rsidRPr="00907E26" w:rsidRDefault="002D22B7">
      <w:bookmarkStart w:id="0" w:name="_GoBack"/>
      <w:bookmarkEnd w:id="0"/>
    </w:p>
    <w:sectPr w:rsidR="002D22B7" w:rsidRPr="00907E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24"/>
    <w:rsid w:val="00270324"/>
    <w:rsid w:val="002D22B7"/>
    <w:rsid w:val="00907E26"/>
    <w:rsid w:val="00FC3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D22B7"/>
    <w:pPr>
      <w:widowControl/>
      <w:spacing w:before="100" w:beforeAutospacing="1" w:after="100" w:afterAutospacing="1"/>
      <w:jc w:val="left"/>
      <w:outlineLvl w:val="0"/>
    </w:pPr>
    <w:rPr>
      <w:rFonts w:ascii="MS PGothic" w:eastAsia="MS PGothic" w:hAnsi="MS PGothic" w:cs="MS PGothic"/>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B7"/>
    <w:rPr>
      <w:rFonts w:ascii="MS PGothic" w:eastAsia="MS PGothic" w:hAnsi="MS PGothic" w:cs="MS PGothic"/>
      <w:b/>
      <w:bCs/>
      <w:kern w:val="36"/>
      <w:sz w:val="48"/>
      <w:szCs w:val="48"/>
    </w:rPr>
  </w:style>
  <w:style w:type="paragraph" w:styleId="NormalWeb">
    <w:name w:val="Normal (Web)"/>
    <w:basedOn w:val="Normal"/>
    <w:uiPriority w:val="99"/>
    <w:semiHidden/>
    <w:unhideWhenUsed/>
    <w:rsid w:val="002D22B7"/>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2D22B7"/>
    <w:rPr>
      <w:b/>
      <w:bCs/>
    </w:rPr>
  </w:style>
  <w:style w:type="character" w:styleId="Emphasis">
    <w:name w:val="Emphasis"/>
    <w:basedOn w:val="DefaultParagraphFont"/>
    <w:uiPriority w:val="20"/>
    <w:qFormat/>
    <w:rsid w:val="002D22B7"/>
    <w:rPr>
      <w:i/>
      <w:iCs/>
    </w:rPr>
  </w:style>
  <w:style w:type="character" w:styleId="Hyperlink">
    <w:name w:val="Hyperlink"/>
    <w:basedOn w:val="DefaultParagraphFont"/>
    <w:uiPriority w:val="99"/>
    <w:semiHidden/>
    <w:unhideWhenUsed/>
    <w:rsid w:val="002D22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D22B7"/>
    <w:pPr>
      <w:widowControl/>
      <w:spacing w:before="100" w:beforeAutospacing="1" w:after="100" w:afterAutospacing="1"/>
      <w:jc w:val="left"/>
      <w:outlineLvl w:val="0"/>
    </w:pPr>
    <w:rPr>
      <w:rFonts w:ascii="MS PGothic" w:eastAsia="MS PGothic" w:hAnsi="MS PGothic" w:cs="MS PGothic"/>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B7"/>
    <w:rPr>
      <w:rFonts w:ascii="MS PGothic" w:eastAsia="MS PGothic" w:hAnsi="MS PGothic" w:cs="MS PGothic"/>
      <w:b/>
      <w:bCs/>
      <w:kern w:val="36"/>
      <w:sz w:val="48"/>
      <w:szCs w:val="48"/>
    </w:rPr>
  </w:style>
  <w:style w:type="paragraph" w:styleId="NormalWeb">
    <w:name w:val="Normal (Web)"/>
    <w:basedOn w:val="Normal"/>
    <w:uiPriority w:val="99"/>
    <w:semiHidden/>
    <w:unhideWhenUsed/>
    <w:rsid w:val="002D22B7"/>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2D22B7"/>
    <w:rPr>
      <w:b/>
      <w:bCs/>
    </w:rPr>
  </w:style>
  <w:style w:type="character" w:styleId="Emphasis">
    <w:name w:val="Emphasis"/>
    <w:basedOn w:val="DefaultParagraphFont"/>
    <w:uiPriority w:val="20"/>
    <w:qFormat/>
    <w:rsid w:val="002D22B7"/>
    <w:rPr>
      <w:i/>
      <w:iCs/>
    </w:rPr>
  </w:style>
  <w:style w:type="character" w:styleId="Hyperlink">
    <w:name w:val="Hyperlink"/>
    <w:basedOn w:val="DefaultParagraphFont"/>
    <w:uiPriority w:val="99"/>
    <w:semiHidden/>
    <w:unhideWhenUsed/>
    <w:rsid w:val="002D2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1757">
      <w:bodyDiv w:val="1"/>
      <w:marLeft w:val="0"/>
      <w:marRight w:val="0"/>
      <w:marTop w:val="0"/>
      <w:marBottom w:val="0"/>
      <w:divBdr>
        <w:top w:val="none" w:sz="0" w:space="0" w:color="auto"/>
        <w:left w:val="none" w:sz="0" w:space="0" w:color="auto"/>
        <w:bottom w:val="none" w:sz="0" w:space="0" w:color="auto"/>
        <w:right w:val="none" w:sz="0" w:space="0" w:color="auto"/>
      </w:divBdr>
      <w:divsChild>
        <w:div w:id="834371052">
          <w:marLeft w:val="0"/>
          <w:marRight w:val="0"/>
          <w:marTop w:val="0"/>
          <w:marBottom w:val="0"/>
          <w:divBdr>
            <w:top w:val="none" w:sz="0" w:space="0" w:color="auto"/>
            <w:left w:val="none" w:sz="0" w:space="0" w:color="auto"/>
            <w:bottom w:val="none" w:sz="0" w:space="0" w:color="auto"/>
            <w:right w:val="none" w:sz="0" w:space="0" w:color="auto"/>
          </w:divBdr>
        </w:div>
      </w:divsChild>
    </w:div>
    <w:div w:id="331185032">
      <w:bodyDiv w:val="1"/>
      <w:marLeft w:val="0"/>
      <w:marRight w:val="0"/>
      <w:marTop w:val="0"/>
      <w:marBottom w:val="0"/>
      <w:divBdr>
        <w:top w:val="none" w:sz="0" w:space="0" w:color="auto"/>
        <w:left w:val="none" w:sz="0" w:space="0" w:color="auto"/>
        <w:bottom w:val="none" w:sz="0" w:space="0" w:color="auto"/>
        <w:right w:val="none" w:sz="0" w:space="0" w:color="auto"/>
      </w:divBdr>
    </w:div>
    <w:div w:id="5903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duonggia.vn/thong-tu-224-2012-tt-btc-ngay-26-thang-12-nam-2012/" TargetMode="External"/><Relationship Id="rId3" Type="http://schemas.openxmlformats.org/officeDocument/2006/relationships/settings" Target="settings.xml"/><Relationship Id="rId7" Type="http://schemas.openxmlformats.org/officeDocument/2006/relationships/hyperlink" Target="https://luatduonggia.vn/luat-hop-nhat-luat-chung-khoan-so-27-vbhn-vpqh-ngay-18-thang-12-nam-201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uatduonggia.vn/" TargetMode="External"/><Relationship Id="rId11" Type="http://schemas.openxmlformats.org/officeDocument/2006/relationships/fontTable" Target="fontTable.xml"/><Relationship Id="rId5" Type="http://schemas.openxmlformats.org/officeDocument/2006/relationships/hyperlink" Target="https://luatduonggia.vn/" TargetMode="External"/><Relationship Id="rId10" Type="http://schemas.openxmlformats.org/officeDocument/2006/relationships/hyperlink" Target="tel:19006568/" TargetMode="External"/><Relationship Id="rId4" Type="http://schemas.openxmlformats.org/officeDocument/2006/relationships/webSettings" Target="webSettings.xml"/><Relationship Id="rId9" Type="http://schemas.openxmlformats.org/officeDocument/2006/relationships/hyperlink" Target="https://luatduonggia.vn/tong-dai-tu-van-luat-mien-phi-1900-6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Quoc Tay (FSU17.R7)</dc:creator>
  <cp:keywords/>
  <dc:description/>
  <cp:lastModifiedBy>Luong Quoc Tay (FSU17.R7)</cp:lastModifiedBy>
  <cp:revision>3</cp:revision>
  <dcterms:created xsi:type="dcterms:W3CDTF">2018-07-13T03:25:00Z</dcterms:created>
  <dcterms:modified xsi:type="dcterms:W3CDTF">2018-07-13T03:26:00Z</dcterms:modified>
</cp:coreProperties>
</file>