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06EB" w:rsidRPr="007906EB" w:rsidRDefault="007906EB" w:rsidP="007906E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>Năm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2014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>sắp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qua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>đi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, Business Insider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>điểm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>lại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>những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>lời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>khuyên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>mà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“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>nhà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>tiên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tri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>xứ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Omaha”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>đã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>đưa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>ra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>trong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>năm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qua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>và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>cho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>rằng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6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>lời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>khuyên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>dưới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>đây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>là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>những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>điều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>hữu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>ích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>với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>túi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>tiền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>của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>bạn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>trong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>năm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2015.</w:t>
      </w:r>
    </w:p>
    <w:p w:rsidR="007906EB" w:rsidRPr="007906EB" w:rsidRDefault="007906EB" w:rsidP="007906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Warren Buffett xem việc bị Harvard từ chối là “bước ngoặt”" w:history="1"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Warren Buffett </w:t>
        </w:r>
        <w:proofErr w:type="spellStart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xem</w:t>
        </w:r>
        <w:proofErr w:type="spellEnd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việc</w:t>
        </w:r>
        <w:proofErr w:type="spellEnd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bị</w:t>
        </w:r>
        <w:proofErr w:type="spellEnd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Harvard </w:t>
        </w:r>
        <w:proofErr w:type="spellStart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từ</w:t>
        </w:r>
        <w:proofErr w:type="spellEnd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chối</w:t>
        </w:r>
        <w:proofErr w:type="spellEnd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là</w:t>
        </w:r>
        <w:proofErr w:type="spellEnd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“</w:t>
        </w:r>
        <w:proofErr w:type="spellStart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bước</w:t>
        </w:r>
        <w:proofErr w:type="spellEnd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ngoặt</w:t>
        </w:r>
        <w:proofErr w:type="spellEnd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” </w:t>
        </w:r>
      </w:hyperlink>
    </w:p>
    <w:p w:rsidR="007906EB" w:rsidRPr="007906EB" w:rsidRDefault="007906EB" w:rsidP="007906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Cổ phiếu Berkshire cao kỷ lục, Buffett vững ngôi giàu thứ hai thế giới" w:history="1">
        <w:proofErr w:type="spellStart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Cổ</w:t>
        </w:r>
        <w:proofErr w:type="spellEnd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phiếu</w:t>
        </w:r>
        <w:proofErr w:type="spellEnd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Berkshire </w:t>
        </w:r>
        <w:proofErr w:type="spellStart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cao</w:t>
        </w:r>
        <w:proofErr w:type="spellEnd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kỷ</w:t>
        </w:r>
        <w:proofErr w:type="spellEnd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lục</w:t>
        </w:r>
        <w:proofErr w:type="spellEnd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Buffett </w:t>
        </w:r>
        <w:proofErr w:type="spellStart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vững</w:t>
        </w:r>
        <w:proofErr w:type="spellEnd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ngôi</w:t>
        </w:r>
        <w:proofErr w:type="spellEnd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giàu</w:t>
        </w:r>
        <w:proofErr w:type="spellEnd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thứ</w:t>
        </w:r>
        <w:proofErr w:type="spellEnd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hai</w:t>
        </w:r>
        <w:proofErr w:type="spellEnd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thế</w:t>
        </w:r>
        <w:proofErr w:type="spellEnd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giới</w:t>
        </w:r>
        <w:proofErr w:type="spellEnd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</w:hyperlink>
    </w:p>
    <w:p w:rsidR="007906EB" w:rsidRPr="007906EB" w:rsidRDefault="007906EB" w:rsidP="007906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ooltip="3 triết lý đầu tư kinh điển Bill Gates học được từ Warren Buffett" w:history="1"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3 </w:t>
        </w:r>
        <w:proofErr w:type="spellStart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triết</w:t>
        </w:r>
        <w:proofErr w:type="spellEnd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lý</w:t>
        </w:r>
        <w:proofErr w:type="spellEnd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đầu</w:t>
        </w:r>
        <w:proofErr w:type="spellEnd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tư</w:t>
        </w:r>
        <w:proofErr w:type="spellEnd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kinh</w:t>
        </w:r>
        <w:proofErr w:type="spellEnd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điển</w:t>
        </w:r>
        <w:proofErr w:type="spellEnd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Bill Gates </w:t>
        </w:r>
        <w:proofErr w:type="spellStart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học</w:t>
        </w:r>
        <w:proofErr w:type="spellEnd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được</w:t>
        </w:r>
        <w:proofErr w:type="spellEnd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từ</w:t>
        </w:r>
        <w:proofErr w:type="spellEnd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Warren Buffett </w:t>
        </w:r>
      </w:hyperlink>
    </w:p>
    <w:p w:rsidR="007906EB" w:rsidRPr="007906EB" w:rsidRDefault="007906EB" w:rsidP="007906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ooltip="Tuyệt chiêu tránh thuế của Warren Buffett" w:history="1">
        <w:proofErr w:type="spellStart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Tuyệt</w:t>
        </w:r>
        <w:proofErr w:type="spellEnd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chiêu</w:t>
        </w:r>
        <w:proofErr w:type="spellEnd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tránh</w:t>
        </w:r>
        <w:proofErr w:type="spellEnd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thuế</w:t>
        </w:r>
        <w:proofErr w:type="spellEnd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của</w:t>
        </w:r>
        <w:proofErr w:type="spellEnd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Warren Buffett </w:t>
        </w:r>
      </w:hyperlink>
    </w:p>
    <w:p w:rsidR="007906EB" w:rsidRPr="007906EB" w:rsidRDefault="007906EB" w:rsidP="007906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ooltip="BNSF - &quot;Cỗ máy in tiền&quot; của Buffett" w:history="1"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BNSF - "</w:t>
        </w:r>
        <w:proofErr w:type="spellStart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Cỗ</w:t>
        </w:r>
        <w:proofErr w:type="spellEnd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máy</w:t>
        </w:r>
        <w:proofErr w:type="spellEnd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in </w:t>
        </w:r>
        <w:proofErr w:type="spellStart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tiền</w:t>
        </w:r>
        <w:proofErr w:type="spellEnd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" </w:t>
        </w:r>
        <w:proofErr w:type="spellStart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của</w:t>
        </w:r>
        <w:proofErr w:type="spellEnd"/>
        <w:r w:rsidRPr="007906E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Buffett </w:t>
        </w:r>
      </w:hyperlink>
    </w:p>
    <w:p w:rsidR="007906EB" w:rsidRPr="007906EB" w:rsidRDefault="007906EB" w:rsidP="0079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Warren Buffett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vĩ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đại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khiến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ấn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tượng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mang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lợi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nhuận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khổng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lồ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cổ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phiếu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11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99%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63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tỷ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USD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lần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50. </w:t>
      </w:r>
    </w:p>
    <w:p w:rsidR="007906EB" w:rsidRPr="007906EB" w:rsidRDefault="007906EB" w:rsidP="0079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6EB" w:rsidRPr="007906EB" w:rsidRDefault="007906EB" w:rsidP="0079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2014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, Business Insider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lời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khuyên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tiên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tri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xứ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Omaha”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lời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khuyên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dưới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hữu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ích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túi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2015. </w:t>
      </w:r>
    </w:p>
    <w:p w:rsidR="007906EB" w:rsidRPr="007906EB" w:rsidRDefault="007906EB" w:rsidP="0079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6EB" w:rsidRPr="007906EB" w:rsidRDefault="007906EB" w:rsidP="0079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Hãy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đặt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tiền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vào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quỹ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chỉ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số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7906EB" w:rsidRPr="007906EB" w:rsidRDefault="007906EB" w:rsidP="0079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6EB" w:rsidRPr="007906EB" w:rsidRDefault="007906EB" w:rsidP="0079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lá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tới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cổ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đông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Berkshire Hathaway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2014, Buffett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lộ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hoạch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thân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nhắc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nhở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chí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toàn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, chi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thấp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7906EB" w:rsidRPr="007906EB" w:rsidRDefault="007906EB" w:rsidP="0079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6EB" w:rsidRPr="007906EB" w:rsidRDefault="007906EB" w:rsidP="0079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EB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Lời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khuyên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dành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quỹ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tín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thác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giản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nữa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10%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mặt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phiếu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phủ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ngắn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90%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còn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quỹ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S&amp;P 500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chi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siêu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thấp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quả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tốt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so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lợi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suất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hầu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hết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”, Buffett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7906EB" w:rsidRPr="007906EB" w:rsidRDefault="007906EB" w:rsidP="0079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6EB" w:rsidRPr="007906EB" w:rsidRDefault="007906EB" w:rsidP="0079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Tránh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xa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Bitcoin</w:t>
      </w:r>
      <w:proofErr w:type="spellEnd"/>
    </w:p>
    <w:p w:rsidR="007906EB" w:rsidRPr="007906EB" w:rsidRDefault="007906EB" w:rsidP="0079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6EB" w:rsidRPr="007906EB" w:rsidRDefault="007906EB" w:rsidP="0079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Buffett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hào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hứng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lời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khuyên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đáng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ngạc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chối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lĩnh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(IBM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7906EB" w:rsidRPr="007906EB" w:rsidRDefault="007906EB" w:rsidP="0079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6EB" w:rsidRPr="007906EB" w:rsidRDefault="007906EB" w:rsidP="0079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Tuy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, Buffett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thậm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chí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coi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Bitcoin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khoản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bởi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loại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tiền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ảo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>” (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lời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cuộc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phỏng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CNBC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3). </w:t>
      </w:r>
    </w:p>
    <w:p w:rsidR="007906EB" w:rsidRPr="007906EB" w:rsidRDefault="007906EB" w:rsidP="0079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6EB" w:rsidRPr="007906EB" w:rsidRDefault="007906EB" w:rsidP="0079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Hãy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học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cách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đọc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cáo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tài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chính</w:t>
      </w:r>
      <w:proofErr w:type="spellEnd"/>
    </w:p>
    <w:p w:rsidR="007906EB" w:rsidRPr="007906EB" w:rsidRDefault="007906EB" w:rsidP="0079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6EB" w:rsidRPr="007906EB" w:rsidRDefault="007906EB" w:rsidP="0079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Buffett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đưa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ra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lời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khuyên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Tre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Grinner,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cậu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bé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17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vừa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ngân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Goldman Sachs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quỹ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Make – a – Wish. Buffett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giành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cậu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bé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lastRenderedPageBreak/>
        <w:t>một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ngạc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gọi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điện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Grinner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cậu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lời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phỏng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CNBC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8.</w:t>
      </w:r>
    </w:p>
    <w:p w:rsidR="007906EB" w:rsidRPr="007906EB" w:rsidRDefault="007906EB" w:rsidP="0079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6EB" w:rsidRPr="007906EB" w:rsidRDefault="007906EB" w:rsidP="0079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Lời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khuyên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Buffett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tất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cả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tìm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thấy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toán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ngôn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doanh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”,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đọc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>. “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quen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ngoại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ngữ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đòi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kinh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đem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lợi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ích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này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>”. </w:t>
      </w:r>
    </w:p>
    <w:p w:rsidR="007906EB" w:rsidRPr="007906EB" w:rsidRDefault="007906EB" w:rsidP="0079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6EB" w:rsidRPr="007906EB" w:rsidRDefault="007906EB" w:rsidP="0079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Tập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trung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vào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tiết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kiệm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đừng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ham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làm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giàu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chóng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vánh</w:t>
      </w:r>
      <w:proofErr w:type="spellEnd"/>
    </w:p>
    <w:p w:rsidR="007906EB" w:rsidRPr="007906EB" w:rsidRDefault="007906EB" w:rsidP="0079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6EB" w:rsidRPr="007906EB" w:rsidRDefault="007906EB" w:rsidP="0079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EB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Lỗi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chúng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ta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hay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mắc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tạo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thói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quen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kiệm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sớm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lại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muốn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làm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giàu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chóng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giàu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khá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bỗng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chốc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nên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giàu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hề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chút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>”. </w:t>
      </w:r>
    </w:p>
    <w:p w:rsidR="007906EB" w:rsidRPr="007906EB" w:rsidRDefault="007906EB" w:rsidP="0079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6EB" w:rsidRPr="007906EB" w:rsidRDefault="007906EB" w:rsidP="0079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Khi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cổ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phiếu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giảm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giá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hãy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mua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vào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chứ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đừng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bán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ra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7906EB" w:rsidRPr="007906EB" w:rsidRDefault="007906EB" w:rsidP="0079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6EB" w:rsidRPr="007906EB" w:rsidRDefault="007906EB" w:rsidP="0079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2014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đối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Buffett.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tỷ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USD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vài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10,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cổ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phiếu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Coke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IBM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sụt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bố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lợi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nhuận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quý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Tuy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, Buffett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vẫn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rất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bình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tĩnh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tham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vài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buổi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phỏng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ưa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con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gấu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:rsidR="007906EB" w:rsidRPr="007906EB" w:rsidRDefault="007906EB" w:rsidP="0079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6EB" w:rsidRPr="007906EB" w:rsidRDefault="007906EB" w:rsidP="0079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rằng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tài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63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tỷ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USD,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thua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lỗ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tỷ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USD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chẳng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nhằm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nhò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gì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Tuy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Buffett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CNBC,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nhà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quá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nôn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nóng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hiếm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7906EB" w:rsidRPr="007906EB" w:rsidRDefault="007906EB" w:rsidP="0079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6EB" w:rsidRPr="007906EB" w:rsidRDefault="007906EB" w:rsidP="0079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EB">
        <w:rPr>
          <w:rFonts w:ascii="Times New Roman" w:eastAsia="Times New Roman" w:hAnsi="Times New Roman" w:cs="Times New Roman"/>
          <w:sz w:val="24"/>
          <w:szCs w:val="24"/>
        </w:rPr>
        <w:t>“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lúc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càng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giảm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càng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nữa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sẽ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diễn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như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thế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nào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nhưng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tôi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cổ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phiếu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nắm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giữ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7906EB" w:rsidRPr="007906EB" w:rsidRDefault="007906EB" w:rsidP="0079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6EB" w:rsidRPr="007906EB" w:rsidRDefault="007906EB" w:rsidP="0079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Hãy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chấm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dứt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việc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giả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bộ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mình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là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một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chuyên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gia</w:t>
      </w:r>
      <w:proofErr w:type="spellEnd"/>
      <w:r w:rsidRPr="007906EB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</w:p>
    <w:p w:rsidR="007906EB" w:rsidRPr="007906EB" w:rsidRDefault="007906EB" w:rsidP="0079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6EB" w:rsidRPr="007906EB" w:rsidRDefault="007906EB" w:rsidP="0079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tư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thứ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biết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đó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chỉ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canh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bạc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”, Buffett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trả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lời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phỏng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vấn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CNBC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đầu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nay.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Đây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cũng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do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luôn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tránh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xa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cổ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phiếu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nghệ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vàng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7906EB" w:rsidRPr="007906EB" w:rsidRDefault="007906EB" w:rsidP="0079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906EB" w:rsidRPr="007906EB" w:rsidRDefault="007906EB" w:rsidP="007906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lá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thư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cổ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đông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năm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2014,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ông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viết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>: “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đạt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mức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lợi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nhuận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xuất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sắc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bạn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chuyên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gia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nhất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là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thân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trau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dồi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Nếu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hứa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hẹn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lợi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nhuận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chốc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lát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hãy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nhanh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chóng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06EB">
        <w:rPr>
          <w:rFonts w:ascii="Times New Roman" w:eastAsia="Times New Roman" w:hAnsi="Times New Roman" w:cs="Times New Roman"/>
          <w:sz w:val="24"/>
          <w:szCs w:val="24"/>
        </w:rPr>
        <w:t>chối</w:t>
      </w:r>
      <w:proofErr w:type="spellEnd"/>
      <w:r w:rsidRPr="007906EB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:rsidR="00DD2809" w:rsidRDefault="00DD2809"/>
    <w:sectPr w:rsidR="00DD2809" w:rsidSect="00DD2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1431A8"/>
    <w:multiLevelType w:val="multilevel"/>
    <w:tmpl w:val="21344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906EB"/>
    <w:rsid w:val="000239B5"/>
    <w:rsid w:val="0002415C"/>
    <w:rsid w:val="00025D6B"/>
    <w:rsid w:val="0003085D"/>
    <w:rsid w:val="0004315C"/>
    <w:rsid w:val="00043769"/>
    <w:rsid w:val="00044DC7"/>
    <w:rsid w:val="00046A51"/>
    <w:rsid w:val="00051E0D"/>
    <w:rsid w:val="00055BF5"/>
    <w:rsid w:val="00060D95"/>
    <w:rsid w:val="000628D5"/>
    <w:rsid w:val="00063BE3"/>
    <w:rsid w:val="000717F4"/>
    <w:rsid w:val="000858A1"/>
    <w:rsid w:val="000919E0"/>
    <w:rsid w:val="000A20F6"/>
    <w:rsid w:val="000B1B82"/>
    <w:rsid w:val="000C347A"/>
    <w:rsid w:val="000D19D0"/>
    <w:rsid w:val="000D2037"/>
    <w:rsid w:val="000D29D4"/>
    <w:rsid w:val="000E045D"/>
    <w:rsid w:val="000E110E"/>
    <w:rsid w:val="000E78DB"/>
    <w:rsid w:val="000F4AC5"/>
    <w:rsid w:val="000F6CDC"/>
    <w:rsid w:val="001129DE"/>
    <w:rsid w:val="0013139E"/>
    <w:rsid w:val="00134EAE"/>
    <w:rsid w:val="001415AF"/>
    <w:rsid w:val="0014472D"/>
    <w:rsid w:val="00144EE0"/>
    <w:rsid w:val="00151D9E"/>
    <w:rsid w:val="0015590A"/>
    <w:rsid w:val="00155A22"/>
    <w:rsid w:val="0016000A"/>
    <w:rsid w:val="00161842"/>
    <w:rsid w:val="001647C6"/>
    <w:rsid w:val="001709F3"/>
    <w:rsid w:val="001712D8"/>
    <w:rsid w:val="00180B7D"/>
    <w:rsid w:val="001815DA"/>
    <w:rsid w:val="00190EFC"/>
    <w:rsid w:val="001920C3"/>
    <w:rsid w:val="00197A5C"/>
    <w:rsid w:val="001A217B"/>
    <w:rsid w:val="001B132F"/>
    <w:rsid w:val="001B51DD"/>
    <w:rsid w:val="001C1107"/>
    <w:rsid w:val="001C3FCD"/>
    <w:rsid w:val="001D69B5"/>
    <w:rsid w:val="001E2BFB"/>
    <w:rsid w:val="001F268D"/>
    <w:rsid w:val="002028CC"/>
    <w:rsid w:val="00214ED5"/>
    <w:rsid w:val="00222666"/>
    <w:rsid w:val="002237A7"/>
    <w:rsid w:val="00235EF8"/>
    <w:rsid w:val="00241330"/>
    <w:rsid w:val="002513E6"/>
    <w:rsid w:val="00252EEF"/>
    <w:rsid w:val="002553AD"/>
    <w:rsid w:val="00261D51"/>
    <w:rsid w:val="002629B9"/>
    <w:rsid w:val="00267B80"/>
    <w:rsid w:val="002708A2"/>
    <w:rsid w:val="002B2F44"/>
    <w:rsid w:val="002B4E86"/>
    <w:rsid w:val="002B6393"/>
    <w:rsid w:val="002C595B"/>
    <w:rsid w:val="002C73F2"/>
    <w:rsid w:val="002D21B5"/>
    <w:rsid w:val="002D60DB"/>
    <w:rsid w:val="002D7F64"/>
    <w:rsid w:val="002F4C1E"/>
    <w:rsid w:val="00317902"/>
    <w:rsid w:val="00326EAA"/>
    <w:rsid w:val="0032740D"/>
    <w:rsid w:val="00332B0D"/>
    <w:rsid w:val="00332DE7"/>
    <w:rsid w:val="0033541B"/>
    <w:rsid w:val="00347E61"/>
    <w:rsid w:val="00357409"/>
    <w:rsid w:val="00372B08"/>
    <w:rsid w:val="00380147"/>
    <w:rsid w:val="00384EA7"/>
    <w:rsid w:val="00391A62"/>
    <w:rsid w:val="00396537"/>
    <w:rsid w:val="00396C60"/>
    <w:rsid w:val="003A075D"/>
    <w:rsid w:val="003A0BC6"/>
    <w:rsid w:val="003A7DEF"/>
    <w:rsid w:val="003B0276"/>
    <w:rsid w:val="003B3E65"/>
    <w:rsid w:val="003C07EF"/>
    <w:rsid w:val="003C5FA8"/>
    <w:rsid w:val="003C6F0B"/>
    <w:rsid w:val="003C7435"/>
    <w:rsid w:val="003D1936"/>
    <w:rsid w:val="003D231B"/>
    <w:rsid w:val="003D4F7F"/>
    <w:rsid w:val="003E1E21"/>
    <w:rsid w:val="003E42D1"/>
    <w:rsid w:val="003E50F4"/>
    <w:rsid w:val="003F4485"/>
    <w:rsid w:val="003F4D9E"/>
    <w:rsid w:val="0040731B"/>
    <w:rsid w:val="00422233"/>
    <w:rsid w:val="0042520A"/>
    <w:rsid w:val="00432670"/>
    <w:rsid w:val="004360C1"/>
    <w:rsid w:val="00453466"/>
    <w:rsid w:val="00453D2F"/>
    <w:rsid w:val="00456199"/>
    <w:rsid w:val="00467B24"/>
    <w:rsid w:val="00472FDE"/>
    <w:rsid w:val="00473BEC"/>
    <w:rsid w:val="00480F65"/>
    <w:rsid w:val="00482C5E"/>
    <w:rsid w:val="00484179"/>
    <w:rsid w:val="00484C89"/>
    <w:rsid w:val="0048681C"/>
    <w:rsid w:val="00494E4A"/>
    <w:rsid w:val="004A49A2"/>
    <w:rsid w:val="004B0677"/>
    <w:rsid w:val="004B508A"/>
    <w:rsid w:val="004C7A70"/>
    <w:rsid w:val="004D1EA8"/>
    <w:rsid w:val="004E7B6A"/>
    <w:rsid w:val="004F0335"/>
    <w:rsid w:val="004F1E51"/>
    <w:rsid w:val="004F7057"/>
    <w:rsid w:val="0050463A"/>
    <w:rsid w:val="005051E9"/>
    <w:rsid w:val="005068F5"/>
    <w:rsid w:val="00514FFA"/>
    <w:rsid w:val="0054159E"/>
    <w:rsid w:val="00551D2D"/>
    <w:rsid w:val="00552B96"/>
    <w:rsid w:val="005548C7"/>
    <w:rsid w:val="0055714B"/>
    <w:rsid w:val="005674DB"/>
    <w:rsid w:val="00571225"/>
    <w:rsid w:val="00571606"/>
    <w:rsid w:val="005731D9"/>
    <w:rsid w:val="00575A64"/>
    <w:rsid w:val="005A40AC"/>
    <w:rsid w:val="005B182E"/>
    <w:rsid w:val="005B2E64"/>
    <w:rsid w:val="005B5BB1"/>
    <w:rsid w:val="005C1700"/>
    <w:rsid w:val="005C2CF8"/>
    <w:rsid w:val="005D12D1"/>
    <w:rsid w:val="005D171C"/>
    <w:rsid w:val="005D19B5"/>
    <w:rsid w:val="005E7888"/>
    <w:rsid w:val="005F0DB2"/>
    <w:rsid w:val="00602C61"/>
    <w:rsid w:val="00604A86"/>
    <w:rsid w:val="0061519A"/>
    <w:rsid w:val="00624C18"/>
    <w:rsid w:val="006342A8"/>
    <w:rsid w:val="0063671C"/>
    <w:rsid w:val="00640C58"/>
    <w:rsid w:val="00646105"/>
    <w:rsid w:val="00647FA1"/>
    <w:rsid w:val="006522BE"/>
    <w:rsid w:val="0065535E"/>
    <w:rsid w:val="00661E04"/>
    <w:rsid w:val="006638B0"/>
    <w:rsid w:val="006639C7"/>
    <w:rsid w:val="0066441A"/>
    <w:rsid w:val="00667AEC"/>
    <w:rsid w:val="006747A2"/>
    <w:rsid w:val="00681C67"/>
    <w:rsid w:val="006939AF"/>
    <w:rsid w:val="006940B6"/>
    <w:rsid w:val="0069470A"/>
    <w:rsid w:val="00695B6B"/>
    <w:rsid w:val="006A100A"/>
    <w:rsid w:val="006A523E"/>
    <w:rsid w:val="006A5DDF"/>
    <w:rsid w:val="006C6CF1"/>
    <w:rsid w:val="006D2396"/>
    <w:rsid w:val="006E3C07"/>
    <w:rsid w:val="0071678D"/>
    <w:rsid w:val="00722C29"/>
    <w:rsid w:val="00731F1A"/>
    <w:rsid w:val="0073282A"/>
    <w:rsid w:val="007334DA"/>
    <w:rsid w:val="0073529E"/>
    <w:rsid w:val="007356E1"/>
    <w:rsid w:val="007379E7"/>
    <w:rsid w:val="007478C4"/>
    <w:rsid w:val="007566EC"/>
    <w:rsid w:val="007579EB"/>
    <w:rsid w:val="0076136D"/>
    <w:rsid w:val="007630C3"/>
    <w:rsid w:val="007658FD"/>
    <w:rsid w:val="007772F8"/>
    <w:rsid w:val="00784F94"/>
    <w:rsid w:val="0078578C"/>
    <w:rsid w:val="007906EB"/>
    <w:rsid w:val="00790A48"/>
    <w:rsid w:val="00796527"/>
    <w:rsid w:val="007A0D73"/>
    <w:rsid w:val="007A17DC"/>
    <w:rsid w:val="007B120B"/>
    <w:rsid w:val="007B5078"/>
    <w:rsid w:val="007D686A"/>
    <w:rsid w:val="007E52FC"/>
    <w:rsid w:val="007E6C45"/>
    <w:rsid w:val="007F653F"/>
    <w:rsid w:val="00806A4F"/>
    <w:rsid w:val="00822E5E"/>
    <w:rsid w:val="0083069F"/>
    <w:rsid w:val="00851B0C"/>
    <w:rsid w:val="00851BCA"/>
    <w:rsid w:val="00854639"/>
    <w:rsid w:val="00862477"/>
    <w:rsid w:val="00862A7E"/>
    <w:rsid w:val="0087102A"/>
    <w:rsid w:val="00874CCD"/>
    <w:rsid w:val="0088468C"/>
    <w:rsid w:val="00897C66"/>
    <w:rsid w:val="008A0AA9"/>
    <w:rsid w:val="008A3FB3"/>
    <w:rsid w:val="008B3DBE"/>
    <w:rsid w:val="008B5365"/>
    <w:rsid w:val="008B72B3"/>
    <w:rsid w:val="008B747A"/>
    <w:rsid w:val="008C7EDA"/>
    <w:rsid w:val="008D07CA"/>
    <w:rsid w:val="008F069A"/>
    <w:rsid w:val="008F0E26"/>
    <w:rsid w:val="00903760"/>
    <w:rsid w:val="0090740A"/>
    <w:rsid w:val="00913EA7"/>
    <w:rsid w:val="00921672"/>
    <w:rsid w:val="009278F2"/>
    <w:rsid w:val="00950B14"/>
    <w:rsid w:val="00961BEB"/>
    <w:rsid w:val="00994E34"/>
    <w:rsid w:val="009A2CAF"/>
    <w:rsid w:val="009B3A80"/>
    <w:rsid w:val="009D1F77"/>
    <w:rsid w:val="009D4886"/>
    <w:rsid w:val="009D6951"/>
    <w:rsid w:val="009E787D"/>
    <w:rsid w:val="00A11E3E"/>
    <w:rsid w:val="00A149B4"/>
    <w:rsid w:val="00A2183E"/>
    <w:rsid w:val="00A23891"/>
    <w:rsid w:val="00A24FFB"/>
    <w:rsid w:val="00A26A97"/>
    <w:rsid w:val="00A41684"/>
    <w:rsid w:val="00A516B2"/>
    <w:rsid w:val="00A61760"/>
    <w:rsid w:val="00A620F5"/>
    <w:rsid w:val="00A650DB"/>
    <w:rsid w:val="00A65BBF"/>
    <w:rsid w:val="00A702CF"/>
    <w:rsid w:val="00A72019"/>
    <w:rsid w:val="00A74E71"/>
    <w:rsid w:val="00A83D33"/>
    <w:rsid w:val="00A8737F"/>
    <w:rsid w:val="00A9622C"/>
    <w:rsid w:val="00AA2F0B"/>
    <w:rsid w:val="00AB619D"/>
    <w:rsid w:val="00AB6595"/>
    <w:rsid w:val="00AC278A"/>
    <w:rsid w:val="00AD4D58"/>
    <w:rsid w:val="00AD6505"/>
    <w:rsid w:val="00AF287A"/>
    <w:rsid w:val="00AF401F"/>
    <w:rsid w:val="00B01603"/>
    <w:rsid w:val="00B03BAC"/>
    <w:rsid w:val="00B10976"/>
    <w:rsid w:val="00B12147"/>
    <w:rsid w:val="00B20CA8"/>
    <w:rsid w:val="00B27BB0"/>
    <w:rsid w:val="00B34D37"/>
    <w:rsid w:val="00B37189"/>
    <w:rsid w:val="00B37313"/>
    <w:rsid w:val="00B418A6"/>
    <w:rsid w:val="00B44072"/>
    <w:rsid w:val="00B47BF1"/>
    <w:rsid w:val="00B47F72"/>
    <w:rsid w:val="00B54092"/>
    <w:rsid w:val="00B600F6"/>
    <w:rsid w:val="00B62815"/>
    <w:rsid w:val="00B634A0"/>
    <w:rsid w:val="00B66182"/>
    <w:rsid w:val="00B7348C"/>
    <w:rsid w:val="00B73F05"/>
    <w:rsid w:val="00B74AF4"/>
    <w:rsid w:val="00B774DF"/>
    <w:rsid w:val="00B8277C"/>
    <w:rsid w:val="00BA22D9"/>
    <w:rsid w:val="00BA301F"/>
    <w:rsid w:val="00BB4651"/>
    <w:rsid w:val="00BB4E6B"/>
    <w:rsid w:val="00BC0DC8"/>
    <w:rsid w:val="00BC51B6"/>
    <w:rsid w:val="00BD1FA3"/>
    <w:rsid w:val="00BD3B78"/>
    <w:rsid w:val="00BE3721"/>
    <w:rsid w:val="00BE374B"/>
    <w:rsid w:val="00BE779A"/>
    <w:rsid w:val="00BE7BE3"/>
    <w:rsid w:val="00BF23A8"/>
    <w:rsid w:val="00BF400C"/>
    <w:rsid w:val="00BF41DC"/>
    <w:rsid w:val="00C0710D"/>
    <w:rsid w:val="00C27DC0"/>
    <w:rsid w:val="00C33F44"/>
    <w:rsid w:val="00C34AAB"/>
    <w:rsid w:val="00C475DC"/>
    <w:rsid w:val="00C6313E"/>
    <w:rsid w:val="00C731BD"/>
    <w:rsid w:val="00C75958"/>
    <w:rsid w:val="00C9173B"/>
    <w:rsid w:val="00C9232E"/>
    <w:rsid w:val="00C934C4"/>
    <w:rsid w:val="00C97B9E"/>
    <w:rsid w:val="00CA00AC"/>
    <w:rsid w:val="00CA2BF5"/>
    <w:rsid w:val="00CC155E"/>
    <w:rsid w:val="00CC3287"/>
    <w:rsid w:val="00CC58CD"/>
    <w:rsid w:val="00CD07C4"/>
    <w:rsid w:val="00CD1480"/>
    <w:rsid w:val="00CD1BE7"/>
    <w:rsid w:val="00CE4DEC"/>
    <w:rsid w:val="00CF6ADC"/>
    <w:rsid w:val="00D00ACC"/>
    <w:rsid w:val="00D01209"/>
    <w:rsid w:val="00D12E0D"/>
    <w:rsid w:val="00D13D94"/>
    <w:rsid w:val="00D1546D"/>
    <w:rsid w:val="00D3546B"/>
    <w:rsid w:val="00D42F77"/>
    <w:rsid w:val="00D43B3D"/>
    <w:rsid w:val="00D452FE"/>
    <w:rsid w:val="00D51D1B"/>
    <w:rsid w:val="00D54783"/>
    <w:rsid w:val="00D557BC"/>
    <w:rsid w:val="00D57708"/>
    <w:rsid w:val="00D6178A"/>
    <w:rsid w:val="00D752C4"/>
    <w:rsid w:val="00D8300D"/>
    <w:rsid w:val="00D831BA"/>
    <w:rsid w:val="00D8618F"/>
    <w:rsid w:val="00D86266"/>
    <w:rsid w:val="00D95017"/>
    <w:rsid w:val="00D97356"/>
    <w:rsid w:val="00DA1326"/>
    <w:rsid w:val="00DB0059"/>
    <w:rsid w:val="00DD1686"/>
    <w:rsid w:val="00DD2809"/>
    <w:rsid w:val="00DE0E5E"/>
    <w:rsid w:val="00DE636A"/>
    <w:rsid w:val="00DF1F17"/>
    <w:rsid w:val="00E13E13"/>
    <w:rsid w:val="00E16C42"/>
    <w:rsid w:val="00E16DAE"/>
    <w:rsid w:val="00E204DF"/>
    <w:rsid w:val="00E226B4"/>
    <w:rsid w:val="00E267DC"/>
    <w:rsid w:val="00E310C9"/>
    <w:rsid w:val="00E40BC9"/>
    <w:rsid w:val="00E44AC8"/>
    <w:rsid w:val="00E6182E"/>
    <w:rsid w:val="00E6592E"/>
    <w:rsid w:val="00E7433F"/>
    <w:rsid w:val="00E811E2"/>
    <w:rsid w:val="00E87227"/>
    <w:rsid w:val="00E92477"/>
    <w:rsid w:val="00EA36E5"/>
    <w:rsid w:val="00EA5561"/>
    <w:rsid w:val="00EB1659"/>
    <w:rsid w:val="00EC488D"/>
    <w:rsid w:val="00EC75EC"/>
    <w:rsid w:val="00F03808"/>
    <w:rsid w:val="00F0637E"/>
    <w:rsid w:val="00F15A9F"/>
    <w:rsid w:val="00F226CB"/>
    <w:rsid w:val="00F27A59"/>
    <w:rsid w:val="00F44EF3"/>
    <w:rsid w:val="00F6218F"/>
    <w:rsid w:val="00F708DF"/>
    <w:rsid w:val="00F70A2A"/>
    <w:rsid w:val="00F71E32"/>
    <w:rsid w:val="00F76D10"/>
    <w:rsid w:val="00F845AA"/>
    <w:rsid w:val="00F863ED"/>
    <w:rsid w:val="00F91D43"/>
    <w:rsid w:val="00F93D75"/>
    <w:rsid w:val="00FA2108"/>
    <w:rsid w:val="00FA5186"/>
    <w:rsid w:val="00FA537A"/>
    <w:rsid w:val="00FB4FDE"/>
    <w:rsid w:val="00FC087C"/>
    <w:rsid w:val="00FC0A60"/>
    <w:rsid w:val="00FC6E39"/>
    <w:rsid w:val="00FD29A8"/>
    <w:rsid w:val="00FD4E9B"/>
    <w:rsid w:val="00FD6F10"/>
    <w:rsid w:val="00FF0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2809"/>
  </w:style>
  <w:style w:type="paragraph" w:styleId="Heading2">
    <w:name w:val="heading 2"/>
    <w:basedOn w:val="Normal"/>
    <w:link w:val="Heading2Char"/>
    <w:uiPriority w:val="9"/>
    <w:qFormat/>
    <w:rsid w:val="007906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906E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906E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906E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366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6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1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5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73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4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fef.vn/tai-chinh-quoc-te/tuyet-chieu-tranh-thue-cua-warren-buffett-201411140938207504ca32.ch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afef.vn/tai-chinh-quoc-te/3-triet-ly-dau-tu-kinh-dien-bill-gates-hoc-duoc-tu-warren-buffett-201412062329428704ca32.ch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fef.vn/tai-chinh-quoc-te/co-phieu-berkshire-cao-ky-luc-buffett-vung-ngoi-giau-thu-hai-the-gioi-2014120721593777314ca32.ch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cafef.vn/tai-chinh-quoc-te/warren-buffett-xem-viec-bi-harvard-tu-choi-la-buoc-ngoat-2014121220230621010ca32.ch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afef.vn/tai-chinh-quoc-te/bnsf-co-may-in-tien-cua-buffett-201411111740439502ca32.ch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778</Words>
  <Characters>4440</Characters>
  <Application>Microsoft Office Word</Application>
  <DocSecurity>0</DocSecurity>
  <Lines>37</Lines>
  <Paragraphs>10</Paragraphs>
  <ScaleCrop>false</ScaleCrop>
  <Company>IBM</Company>
  <LinksUpToDate>false</LinksUpToDate>
  <CharactersWithSpaces>5208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ADMINIBM</dc:creator>
  <cp:keywords/>
  <dc:description/>
  <cp:lastModifiedBy>ADMINIBM</cp:lastModifiedBy>
  <cp:revision>2</cp:revision>
  <dcterms:created xsi:type="dcterms:W3CDTF">2014-12-26T07:28:00Z</dcterms:created>
  <dcterms:modified xsi:type="dcterms:W3CDTF">2014-12-26T07:28:00Z</dcterms:modified>
</cp:coreProperties>
</file>