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437" w:rsidRPr="00B02437" w:rsidRDefault="00B02437" w:rsidP="00E76E7B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color w:val="555555"/>
          <w:sz w:val="44"/>
          <w:szCs w:val="26"/>
        </w:rPr>
      </w:pPr>
      <w:r w:rsidRPr="00B02437">
        <w:rPr>
          <w:rFonts w:ascii="Times New Roman" w:eastAsia="Times New Roman" w:hAnsi="Times New Roman" w:cs="Times New Roman"/>
          <w:b/>
          <w:bCs/>
          <w:color w:val="555555"/>
          <w:sz w:val="44"/>
          <w:szCs w:val="26"/>
        </w:rPr>
        <w:t>KINH TẾ THẾ GIỚI NHÌN TỪ THÙNG DẦU</w:t>
      </w:r>
    </w:p>
    <w:p w:rsidR="00B02437" w:rsidRDefault="00B02437" w:rsidP="00E76E7B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</w:pPr>
    </w:p>
    <w:p w:rsidR="00E76E7B" w:rsidRPr="00E76E7B" w:rsidRDefault="00E76E7B" w:rsidP="00E76E7B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</w:pPr>
      <w:proofErr w:type="spellStart"/>
      <w:proofErr w:type="gram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không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chỉ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là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loại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nhiên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liệu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.</w:t>
      </w:r>
      <w:proofErr w:type="gram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proofErr w:type="gram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Sức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mạnh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của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loại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nhiên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liệu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này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thậm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chí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còn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lớn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hơn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cả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thị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trường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mỏ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trị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3.400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tỷ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USD.</w:t>
      </w:r>
      <w:proofErr w:type="gramEnd"/>
    </w:p>
    <w:p w:rsidR="00E76E7B" w:rsidRPr="00E76E7B" w:rsidRDefault="00E76E7B" w:rsidP="00E76E7B">
      <w:pPr>
        <w:shd w:val="clear" w:color="auto" w:fill="FFFFFF"/>
        <w:spacing w:after="300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vũ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khí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tài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chiến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lược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còn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tai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họa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giàu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nhờ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mỏ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nhưng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lụn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bại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yếu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tố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đều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đặc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giống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cứ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hàng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hóa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phản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ánh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điều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kinh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</w:p>
    <w:p w:rsidR="00E76E7B" w:rsidRPr="00E76E7B" w:rsidRDefault="00E76E7B" w:rsidP="00E76E7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Vì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sao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giảm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mạnh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?</w:t>
      </w:r>
      <w:proofErr w:type="gramEnd"/>
    </w:p>
    <w:p w:rsidR="00E76E7B" w:rsidRPr="00E76E7B" w:rsidRDefault="00E76E7B" w:rsidP="00E76E7B">
      <w:pPr>
        <w:shd w:val="clear" w:color="auto" w:fill="FFFFFF"/>
        <w:spacing w:before="240" w:after="192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4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đỉnh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lịch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chấp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kinh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mạnh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giữa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2014.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Hồi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tháng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6,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nhiên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vẫn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kỷ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lục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107</w:t>
      </w:r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,73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USD/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thùng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dù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Mỹ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châu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Âu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càng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xe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hơi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tiết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kiệm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nhiên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khiến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xăng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phẩm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lớn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mạnh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cung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mỏ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tăng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nhờ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nghệ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khoan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sâu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kỹ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thuật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thủy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lực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bẻ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gãy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fracking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).</w:t>
      </w:r>
      <w:proofErr w:type="gramEnd"/>
    </w:p>
    <w:p w:rsidR="00E76E7B" w:rsidRPr="00E76E7B" w:rsidRDefault="00E76E7B" w:rsidP="00E76E7B">
      <w:pPr>
        <w:shd w:val="clear" w:color="auto" w:fill="FFFFFF"/>
        <w:spacing w:before="225" w:after="300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yếu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tố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dẫn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bắt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mùa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hè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Trung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nhập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khẩu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châu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Âu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đứng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bờ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cuộc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suy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thoái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nền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kinh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Mỹ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mạnh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khiến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thùng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niêm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yết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USD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đắt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đỏ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E76E7B" w:rsidRPr="00E76E7B" w:rsidRDefault="00E76E7B" w:rsidP="00E76E7B">
      <w:pPr>
        <w:shd w:val="clear" w:color="auto" w:fill="FFFFFF"/>
        <w:spacing w:before="225" w:after="300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đối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mặt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tình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trạng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dư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thừa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nguồn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cung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khẩu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Trung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Đông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tham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cuộc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chiến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bảo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vệ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nguồn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cung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giếng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Canada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phiến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Mỹ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khiến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sức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mạnh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nhóm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OPEC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đáng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kể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Arab Saudi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bắt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nổi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bối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cảnh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đối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thủ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lớn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Iran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tổn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thương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thấp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còn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cấm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vận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rẻ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cạnh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tranh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tốt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Mỹ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nơi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xất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Giữa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tháng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10,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sâu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lúc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xuống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dưới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80 USD/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thùng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–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ngưỡng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giàn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khoan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Bắc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Dakota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Texas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kiếm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lợi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nhuận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E76E7B" w:rsidRPr="00E76E7B" w:rsidRDefault="00E76E7B" w:rsidP="00E76E7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Thị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trường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luôn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bị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thao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túng</w:t>
      </w:r>
      <w:proofErr w:type="spellEnd"/>
    </w:p>
    <w:p w:rsidR="00E76E7B" w:rsidRPr="00E76E7B" w:rsidRDefault="00E76E7B" w:rsidP="00E76E7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suốt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giữa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kỷ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nhóm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tập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đoàn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ngành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khí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gọi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</w:rPr>
        <w:t> </w:t>
      </w:r>
      <w:hyperlink r:id="rId4" w:tooltip="U.S. State Department history" w:history="1">
        <w:r w:rsidRPr="00E76E7B">
          <w:rPr>
            <w:rFonts w:ascii="Times New Roman" w:eastAsia="Times New Roman" w:hAnsi="Times New Roman" w:cs="Times New Roman"/>
            <w:color w:val="004370"/>
            <w:sz w:val="26"/>
          </w:rPr>
          <w:t>Seven Sisters</w:t>
        </w:r>
      </w:hyperlink>
      <w:r w:rsidRPr="00E76E7B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tạm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dịch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7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em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Exxon Mobil, Chevron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BP)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Kiểm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soát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từng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thùng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tận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giếng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khoan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bồn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xăng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họ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yếu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giao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dịch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dựa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điều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khoản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bí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mật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</w:p>
    <w:p w:rsidR="00E76E7B" w:rsidRPr="00E76E7B" w:rsidRDefault="00E76E7B" w:rsidP="00E76E7B">
      <w:pPr>
        <w:shd w:val="clear" w:color="auto" w:fill="FFFFFF"/>
        <w:spacing w:before="240" w:after="192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1960,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trữ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lớn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giành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quyền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kiểm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soát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đời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Tổ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khẩu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mỏ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(OPEC).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Nhóm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quyền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lực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mỏ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đạt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mục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đích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kinh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gây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sốc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kinh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lệnh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cấm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vận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1973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1979.</w:t>
      </w:r>
      <w:proofErr w:type="gramEnd"/>
    </w:p>
    <w:p w:rsidR="00E76E7B" w:rsidRPr="00E76E7B" w:rsidRDefault="00E76E7B" w:rsidP="00E76E7B">
      <w:pPr>
        <w:shd w:val="clear" w:color="auto" w:fill="FFFFFF"/>
        <w:spacing w:before="240" w:after="192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Trong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1980,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đấu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nội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OPEC,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cung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tương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lai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mỏ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yếu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tố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</w:p>
    <w:p w:rsidR="00E76E7B" w:rsidRPr="00E76E7B" w:rsidRDefault="00E76E7B" w:rsidP="00E76E7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nay,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hai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mỏ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tiên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thô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biển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Bắc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ưu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điểm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ổn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nhưng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gần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ảnh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hưởng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bởi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xu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hướng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lương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còn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ngọt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nhẹ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-</w:t>
      </w:r>
      <w:r w:rsidRPr="00E76E7B">
        <w:rPr>
          <w:rFonts w:ascii="Times New Roman" w:eastAsia="Times New Roman" w:hAnsi="Times New Roman" w:cs="Times New Roman"/>
          <w:color w:val="333333"/>
          <w:sz w:val="26"/>
        </w:rPr>
        <w:t> </w:t>
      </w:r>
      <w:hyperlink r:id="rId5" w:tooltip="CME Group data" w:history="1">
        <w:r w:rsidRPr="00E76E7B">
          <w:rPr>
            <w:rFonts w:ascii="Times New Roman" w:eastAsia="Times New Roman" w:hAnsi="Times New Roman" w:cs="Times New Roman"/>
            <w:color w:val="004370"/>
            <w:sz w:val="26"/>
          </w:rPr>
          <w:t>West Texas Intermediate</w:t>
        </w:r>
      </w:hyperlink>
      <w:r w:rsidRPr="00E76E7B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– WTI,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thô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ngọt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nhẹ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thường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đưa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trung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tâm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lọc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Cushing, Oklahoma (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Bắc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Mỹ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).</w:t>
      </w:r>
    </w:p>
    <w:p w:rsidR="00E76E7B" w:rsidRPr="00E76E7B" w:rsidRDefault="00E76E7B" w:rsidP="00E76E7B">
      <w:pPr>
        <w:shd w:val="clear" w:color="auto" w:fill="FFFFFF"/>
        <w:spacing w:before="240" w:after="192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ngoái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minh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châu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Âu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(EU)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vừa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triệu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tập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lãnh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đạo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Shell, BP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lớn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điều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khả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hai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tham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chiếu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thao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túng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</w:p>
    <w:p w:rsidR="00E76E7B" w:rsidRPr="00E76E7B" w:rsidRDefault="00E76E7B" w:rsidP="00E76E7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sẽ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"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rẻ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như</w:t>
      </w:r>
      <w:proofErr w:type="spellEnd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bèo</w:t>
      </w:r>
      <w:proofErr w:type="spellEnd"/>
      <w:proofErr w:type="gramStart"/>
      <w:r w:rsidRPr="00E76E7B">
        <w:rPr>
          <w:rFonts w:ascii="Times New Roman" w:eastAsia="Times New Roman" w:hAnsi="Times New Roman" w:cs="Times New Roman"/>
          <w:b/>
          <w:bCs/>
          <w:color w:val="333333"/>
          <w:sz w:val="26"/>
        </w:rPr>
        <w:t>" ?</w:t>
      </w:r>
      <w:proofErr w:type="gramEnd"/>
    </w:p>
    <w:p w:rsidR="00E76E7B" w:rsidRPr="00E76E7B" w:rsidRDefault="00E76E7B" w:rsidP="00E76E7B">
      <w:pPr>
        <w:shd w:val="clear" w:color="auto" w:fill="FFFFFF"/>
        <w:spacing w:before="240" w:after="192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đẩy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mạnh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nghiệp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hóa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tiêu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thụ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thùng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đều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trước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giếng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dễ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đều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cạn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kiệt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luận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dẫn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thuyết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gọi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“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đỉnh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”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rằng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khí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cuối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đạt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đỉnh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nguồn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tài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nguyên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cạn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kiệt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E76E7B" w:rsidRPr="00E76E7B" w:rsidRDefault="00E76E7B" w:rsidP="00E76E7B">
      <w:pPr>
        <w:shd w:val="clear" w:color="auto" w:fill="FFFFFF"/>
        <w:spacing w:before="240" w:after="192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Tuy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nhiên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hoài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nghi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thuyết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rằng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tiến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khoa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học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kỹ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thuật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Mỹ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“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mở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khóa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”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nguồn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tài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nguyên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dồi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dào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chi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phí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thăm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dò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lớn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vấn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đề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</w:p>
    <w:p w:rsidR="00E76E7B" w:rsidRPr="00E76E7B" w:rsidRDefault="00E76E7B" w:rsidP="00E76E7B">
      <w:pPr>
        <w:shd w:val="clear" w:color="auto" w:fill="FFFFFF"/>
        <w:spacing w:before="240" w:after="192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ảnh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hưởng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mỏ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lực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Lực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yếu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ớt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2014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dấy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hỏi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tương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lai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mỏ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bởi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tiêu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càng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nhiên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quả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chuyển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sang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E76E7B" w:rsidRPr="00E76E7B" w:rsidRDefault="00E76E7B" w:rsidP="00E76E7B">
      <w:pPr>
        <w:shd w:val="clear" w:color="auto" w:fill="FFFFFF"/>
        <w:spacing w:before="240" w:after="192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mỏ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chiếm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31%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tổng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tiêu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thụ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2012,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mạnh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mức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46%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1973.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dầu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rẻ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bèo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”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nữa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luận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chuyên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lên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tiếng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cảnh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cuộc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khủng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hoảng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tài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gây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bởi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“bong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bóng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carbon”.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Quả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bong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bóng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chứa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đầy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ty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bị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thổi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phồng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E76E7B">
        <w:rPr>
          <w:rFonts w:ascii="Times New Roman" w:eastAsia="Times New Roman" w:hAnsi="Times New Roman" w:cs="Times New Roman"/>
          <w:color w:val="333333"/>
          <w:sz w:val="26"/>
          <w:szCs w:val="26"/>
        </w:rPr>
        <w:t>. </w:t>
      </w:r>
    </w:p>
    <w:p w:rsidR="00DD2809" w:rsidRDefault="00DD2809"/>
    <w:sectPr w:rsidR="00DD2809" w:rsidSect="00DD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E7B"/>
    <w:rsid w:val="0002415C"/>
    <w:rsid w:val="00025D6B"/>
    <w:rsid w:val="00043769"/>
    <w:rsid w:val="00044DC7"/>
    <w:rsid w:val="00046A51"/>
    <w:rsid w:val="00060D95"/>
    <w:rsid w:val="000628D5"/>
    <w:rsid w:val="000858A1"/>
    <w:rsid w:val="000919E0"/>
    <w:rsid w:val="000C347A"/>
    <w:rsid w:val="000F6CDC"/>
    <w:rsid w:val="001129DE"/>
    <w:rsid w:val="0013139E"/>
    <w:rsid w:val="00134EAE"/>
    <w:rsid w:val="001415AF"/>
    <w:rsid w:val="0015590A"/>
    <w:rsid w:val="0016000A"/>
    <w:rsid w:val="00161842"/>
    <w:rsid w:val="001712D8"/>
    <w:rsid w:val="00180B7D"/>
    <w:rsid w:val="001B132F"/>
    <w:rsid w:val="001B51DD"/>
    <w:rsid w:val="00222666"/>
    <w:rsid w:val="00252EEF"/>
    <w:rsid w:val="002553AD"/>
    <w:rsid w:val="002629B9"/>
    <w:rsid w:val="002708A2"/>
    <w:rsid w:val="002B2F44"/>
    <w:rsid w:val="002B4E86"/>
    <w:rsid w:val="002D21B5"/>
    <w:rsid w:val="002D60DB"/>
    <w:rsid w:val="002D7F64"/>
    <w:rsid w:val="00326EAA"/>
    <w:rsid w:val="00332DE7"/>
    <w:rsid w:val="00357409"/>
    <w:rsid w:val="00380147"/>
    <w:rsid w:val="00384EA7"/>
    <w:rsid w:val="00391A62"/>
    <w:rsid w:val="003B0276"/>
    <w:rsid w:val="003C07EF"/>
    <w:rsid w:val="003E1E21"/>
    <w:rsid w:val="00422233"/>
    <w:rsid w:val="0042520A"/>
    <w:rsid w:val="004360C1"/>
    <w:rsid w:val="00453466"/>
    <w:rsid w:val="004B508A"/>
    <w:rsid w:val="004C7A70"/>
    <w:rsid w:val="004F0335"/>
    <w:rsid w:val="005051E9"/>
    <w:rsid w:val="00552B96"/>
    <w:rsid w:val="0055714B"/>
    <w:rsid w:val="005B182E"/>
    <w:rsid w:val="005D19B5"/>
    <w:rsid w:val="005E7888"/>
    <w:rsid w:val="00602C61"/>
    <w:rsid w:val="00604A86"/>
    <w:rsid w:val="0061519A"/>
    <w:rsid w:val="006342A8"/>
    <w:rsid w:val="0063671C"/>
    <w:rsid w:val="0065535E"/>
    <w:rsid w:val="00661E04"/>
    <w:rsid w:val="0066441A"/>
    <w:rsid w:val="00681C67"/>
    <w:rsid w:val="00695B6B"/>
    <w:rsid w:val="006A100A"/>
    <w:rsid w:val="006C6CF1"/>
    <w:rsid w:val="007356E1"/>
    <w:rsid w:val="007379E7"/>
    <w:rsid w:val="0076136D"/>
    <w:rsid w:val="007630C3"/>
    <w:rsid w:val="007658FD"/>
    <w:rsid w:val="0078578C"/>
    <w:rsid w:val="00822E5E"/>
    <w:rsid w:val="0083069F"/>
    <w:rsid w:val="00851B0C"/>
    <w:rsid w:val="00897C66"/>
    <w:rsid w:val="008A0AA9"/>
    <w:rsid w:val="008B3DBE"/>
    <w:rsid w:val="008B72B3"/>
    <w:rsid w:val="008B747A"/>
    <w:rsid w:val="008D07CA"/>
    <w:rsid w:val="00903760"/>
    <w:rsid w:val="00913EA7"/>
    <w:rsid w:val="00994E34"/>
    <w:rsid w:val="00A11E3E"/>
    <w:rsid w:val="00A2183E"/>
    <w:rsid w:val="00A24FFB"/>
    <w:rsid w:val="00A41684"/>
    <w:rsid w:val="00A8737F"/>
    <w:rsid w:val="00AB619D"/>
    <w:rsid w:val="00AD4D58"/>
    <w:rsid w:val="00AF287A"/>
    <w:rsid w:val="00B01603"/>
    <w:rsid w:val="00B02437"/>
    <w:rsid w:val="00B12147"/>
    <w:rsid w:val="00B418A6"/>
    <w:rsid w:val="00B62815"/>
    <w:rsid w:val="00B634A0"/>
    <w:rsid w:val="00B74AF4"/>
    <w:rsid w:val="00B8277C"/>
    <w:rsid w:val="00BE374B"/>
    <w:rsid w:val="00BE7BE3"/>
    <w:rsid w:val="00BF23A8"/>
    <w:rsid w:val="00C33F44"/>
    <w:rsid w:val="00C34AAB"/>
    <w:rsid w:val="00C75958"/>
    <w:rsid w:val="00C9232E"/>
    <w:rsid w:val="00CA2BF5"/>
    <w:rsid w:val="00CC58CD"/>
    <w:rsid w:val="00CD1480"/>
    <w:rsid w:val="00CD1BE7"/>
    <w:rsid w:val="00D1546D"/>
    <w:rsid w:val="00D43B3D"/>
    <w:rsid w:val="00D452FE"/>
    <w:rsid w:val="00D557BC"/>
    <w:rsid w:val="00D8300D"/>
    <w:rsid w:val="00D97356"/>
    <w:rsid w:val="00DD1686"/>
    <w:rsid w:val="00DD2809"/>
    <w:rsid w:val="00E267DC"/>
    <w:rsid w:val="00E6182E"/>
    <w:rsid w:val="00E7433F"/>
    <w:rsid w:val="00E76E7B"/>
    <w:rsid w:val="00EC75EC"/>
    <w:rsid w:val="00F03808"/>
    <w:rsid w:val="00F15A9F"/>
    <w:rsid w:val="00F845AA"/>
    <w:rsid w:val="00FA5186"/>
    <w:rsid w:val="00FB4FDE"/>
    <w:rsid w:val="00FC6E39"/>
    <w:rsid w:val="00FD29A8"/>
    <w:rsid w:val="00FF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09"/>
  </w:style>
  <w:style w:type="paragraph" w:styleId="Heading2">
    <w:name w:val="heading 2"/>
    <w:basedOn w:val="Normal"/>
    <w:link w:val="Heading2Char"/>
    <w:uiPriority w:val="9"/>
    <w:qFormat/>
    <w:rsid w:val="00E76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E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6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E7B"/>
    <w:rPr>
      <w:b/>
      <w:bCs/>
    </w:rPr>
  </w:style>
  <w:style w:type="character" w:customStyle="1" w:styleId="apple-converted-space">
    <w:name w:val="apple-converted-space"/>
    <w:basedOn w:val="DefaultParagraphFont"/>
    <w:rsid w:val="00E76E7B"/>
  </w:style>
  <w:style w:type="character" w:styleId="Hyperlink">
    <w:name w:val="Hyperlink"/>
    <w:basedOn w:val="DefaultParagraphFont"/>
    <w:uiPriority w:val="99"/>
    <w:semiHidden/>
    <w:unhideWhenUsed/>
    <w:rsid w:val="00E76E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megroup.com/trading/energy/crude-oil/light-sweet-crude.html" TargetMode="External"/><Relationship Id="rId4" Type="http://schemas.openxmlformats.org/officeDocument/2006/relationships/hyperlink" Target="http://history.state.gov/milestones/1921-1936/re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736</Words>
  <Characters>4200</Characters>
  <Application>Microsoft Office Word</Application>
  <DocSecurity>0</DocSecurity>
  <Lines>35</Lines>
  <Paragraphs>9</Paragraphs>
  <ScaleCrop>false</ScaleCrop>
  <Company>IBM</Company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2014-10-21T01:50:00Z</dcterms:created>
  <dcterms:modified xsi:type="dcterms:W3CDTF">2014-10-21T01:51:00Z</dcterms:modified>
</cp:coreProperties>
</file>