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908" w:rsidRPr="005C0908" w:rsidRDefault="005C0908" w:rsidP="005C0908">
      <w:pPr>
        <w:pStyle w:val="Heading1"/>
        <w:jc w:val="center"/>
        <w:rPr>
          <w:color w:val="000000" w:themeColor="text1"/>
          <w:sz w:val="32"/>
          <w:szCs w:val="32"/>
        </w:rPr>
      </w:pPr>
      <w:r w:rsidRPr="005C0908">
        <w:rPr>
          <w:color w:val="000000" w:themeColor="text1"/>
          <w:sz w:val="32"/>
          <w:szCs w:val="32"/>
        </w:rPr>
        <w:t>CON ĐƯỜNG TRỞ THÀNH TỶ PHÚ CỦA MICHAEL BLOOMBERG</w:t>
      </w:r>
    </w:p>
    <w:p w:rsidR="005C0908" w:rsidRPr="005C0908" w:rsidRDefault="005C0908" w:rsidP="005C090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bookmarkStart w:id="0" w:name="_GoBack"/>
      <w:bookmarkEnd w:id="0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Theo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bảng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xếp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hạng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mới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nhất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tờ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Business Insider,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nhà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phú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Michael Bloomberg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tổng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tài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sản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33,7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USD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đứng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thứ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10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trong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danh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sách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25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nhà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phú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đi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lên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từ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hai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bàn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tay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trắng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.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nổi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tiếng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là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nhà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phú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giản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dị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thường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xuyên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đi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tàu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điện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ngầm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và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sổ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tiết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kiệm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chỉ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>vài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USD.</w:t>
      </w:r>
      <w:proofErr w:type="gramEnd"/>
    </w:p>
    <w:p w:rsidR="005C0908" w:rsidRPr="005C0908" w:rsidRDefault="005C0908" w:rsidP="005C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hyperlink r:id="rId6" w:tooltip="5 lời khuyên thành công từ tỷ phú Michael Bloomberg " w:history="1"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5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lời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khuyên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thành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công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từ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tỷ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phú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Michael Bloomberg </w:t>
        </w:r>
      </w:hyperlink>
    </w:p>
    <w:p w:rsidR="005C0908" w:rsidRPr="005C0908" w:rsidRDefault="005C0908" w:rsidP="005C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hyperlink r:id="rId7" w:tooltip="Tỷ phú Bloomberg tặng hơn 1 tỷ USD cho trường cũ" w:history="1"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Tỷ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phú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Bloomberg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tặng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hơn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1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tỷ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USD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cho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trường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cũ</w:t>
        </w:r>
        <w:proofErr w:type="spellEnd"/>
      </w:hyperlink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5C0908" w:rsidRPr="005C0908" w:rsidRDefault="005C0908" w:rsidP="005C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hyperlink r:id="rId8" w:tooltip="Tỷ phú Bloomberg: Từ nhân viên trông xe đến ông trùm truyền thông và Thị trưởng" w:history="1"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Tỷ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phú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Bloomberg: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Từ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nhân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viên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trông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xe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đến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ông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trùm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truyền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thông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và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Thị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trưởng</w:t>
        </w:r>
        <w:proofErr w:type="spellEnd"/>
      </w:hyperlink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1.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Nhà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phú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xuất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phát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điểm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là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nhân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viên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trông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xe</w:t>
      </w:r>
      <w:proofErr w:type="spellEnd"/>
      <w:proofErr w:type="gramEnd"/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hyperlink r:id="rId9" w:tgtFrame="_blank" w:tooltip="Tỷ phú Bloomberg" w:history="1"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Tỷ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phú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Bloomberg</w:t>
        </w:r>
      </w:hyperlink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sinh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đúng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vào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ngày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Valentine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1942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Medford, Massachusetts –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một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trấn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nhỏ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cạnh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Boston.</w:t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22A369B8" wp14:editId="721B853E">
            <wp:extent cx="6096000" cy="4572000"/>
            <wp:effectExtent l="0" t="0" r="0" b="0"/>
            <wp:docPr id="14" name="Picture 14" descr="Medford, Massachusetts, quê hương của Bloomb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266" descr="Medford, Massachusetts, quê hương của Bloomber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Medford, Massachusetts,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quê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hương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hyperlink r:id="rId11" w:tgtFrame="_blank" w:tooltip="Bloomberg" w:history="1"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Bloomberg</w:t>
        </w:r>
      </w:hyperlink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lastRenderedPageBreak/>
        <w:t>Suốt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thời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gian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học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phải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nhân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viên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xe</w:t>
      </w:r>
      <w:proofErr w:type="spellEnd"/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để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lấy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tiền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chi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trả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học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phí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Sau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tốt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nghiệp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tấm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bằng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kỹ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sư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điện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Johns Hopkins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bằng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MBA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Harvard,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bắt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đầu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việc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Salomon Brothers New York, ban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đầu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chỉ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việc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phần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nhàm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chán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nhiều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giờ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để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kiểm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kê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sổ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sách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ngân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hàng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Sau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được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phụ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trách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mảng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kinh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doanh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chứng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khoán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đây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24D38DB7" wp14:editId="62F0786D">
            <wp:extent cx="6096000" cy="4572000"/>
            <wp:effectExtent l="0" t="0" r="0" b="0"/>
            <wp:docPr id="13" name="Picture 13" descr="http://cafef.vcmedia.vn/k:thumb_w/640/2015/2-1436773191151/con-duong-tro-thanh-ty-phu-cua-michael-bloom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267" descr="http://cafef.vcmedia.vn/k:thumb_w/640/2015/2-1436773191151/con-duong-tro-thanh-ty-phu-cua-michael-bloomber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Đến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1978,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chịu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trách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nhiệm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vận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mảng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nghệ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tin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ở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Salomon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hơn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3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đến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sát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nhập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thương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hàng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hóa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Phibro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1981. </w:t>
      </w:r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khoản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trợ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cấp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nghỉ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việc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10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triệu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USD.</w:t>
      </w:r>
      <w:proofErr w:type="gramEnd"/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2.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Từ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nhân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viên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trông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xe</w:t>
      </w:r>
      <w:proofErr w:type="spellEnd"/>
      <w:proofErr w:type="gram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đến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trùm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truyền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thông</w:t>
      </w:r>
      <w:proofErr w:type="spellEnd"/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Sau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rời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khỏi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Salomon,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quyết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định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áp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dụng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những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gì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học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được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vào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lập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một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Innovative Market Solution.</w:t>
      </w:r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được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lập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mục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đích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cung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cấp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tin,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số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liệu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các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trader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chứng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khoán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1982,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đơn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hàng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đầu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tiên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giá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30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triệu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USD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22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thiết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đầu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cuối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MarketMaster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3E48CA5C" wp14:editId="09880052">
            <wp:extent cx="6096000" cy="4572000"/>
            <wp:effectExtent l="0" t="0" r="0" b="0"/>
            <wp:docPr id="12" name="Picture 12" descr="Thương nhân làm việc với thiết bị đầu cuối của Bloomberg trên sàn giao dịch NY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270" descr="Thương nhân làm việc với thiết bị đầu cuối của Bloomberg trên sàn giao dịch NY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Trader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việc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thiết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đầu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cuối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sàn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giao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dịch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NYSE</w:t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Sau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được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đổi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Bloomberg LP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trở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phổ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biến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rộng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rãi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trong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suốt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những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80,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1989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giá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2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USD. </w:t>
      </w:r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đồng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thời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trở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thương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hiệu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truyền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đình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đám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nhất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lúc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bấy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giờ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bao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gồm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Bloomberg News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Bloomberg TV.</w:t>
      </w:r>
      <w:proofErr w:type="gramEnd"/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4180F58C" wp14:editId="0B58D8B3">
            <wp:extent cx="6096000" cy="4572000"/>
            <wp:effectExtent l="0" t="0" r="0" b="0"/>
            <wp:docPr id="11" name="Picture 11" descr="Tại trường quay của chương trình Bloomberg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271" descr="Tại trường quay của chương trình Bloomberg T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quay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chương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trình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Bloomberg TV</w:t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3. "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fldChar w:fldCharType="begin"/>
      </w:r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instrText xml:space="preserve"> HYPERLINK "http://cafef.vn/thi-truong.html" \o "Thị trưởng" \t "_blank" </w:instrText>
      </w:r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fldChar w:fldCharType="separate"/>
      </w:r>
      <w:r w:rsidRPr="005C0908">
        <w:rPr>
          <w:rFonts w:asciiTheme="majorHAnsi" w:eastAsia="Times New Roman" w:hAnsiTheme="majorHAnsi" w:cs="Times New Roman"/>
          <w:b/>
          <w:bCs/>
          <w:color w:val="0000FF"/>
          <w:sz w:val="24"/>
          <w:szCs w:val="24"/>
          <w:u w:val="single"/>
        </w:rPr>
        <w:t>Thị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color w:val="0000FF"/>
          <w:sz w:val="24"/>
          <w:szCs w:val="24"/>
          <w:u w:val="single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color w:val="0000FF"/>
          <w:sz w:val="24"/>
          <w:szCs w:val="24"/>
          <w:u w:val="single"/>
        </w:rPr>
        <w:t>trưởng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fldChar w:fldCharType="end"/>
      </w:r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sổ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tiết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>kiệm</w:t>
      </w:r>
      <w:proofErr w:type="spellEnd"/>
      <w:r w:rsidRPr="005C090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1 USD"</w:t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2001,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quyết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định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gia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nhập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nền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chính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thế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giới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tranh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cử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chức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trưởng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New York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tư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cách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Đảng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viên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Đảng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Cộng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hòa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bắt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đầu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việc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trưởng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2002,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đây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đã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vực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dậy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cả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phố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sau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cuộc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tấn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11/9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New York.</w:t>
      </w:r>
      <w:proofErr w:type="gramEnd"/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6A7E0086" wp14:editId="7EE7090A">
            <wp:extent cx="6096000" cy="4572000"/>
            <wp:effectExtent l="0" t="0" r="0" b="0"/>
            <wp:docPr id="10" name="Picture 10" descr="Bloomberg trong buổi vận động tranh cử đầu tiên năm 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272" descr="Bloomberg trong buổi vận động tranh cử đầu tiên năm 20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trong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buổi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vận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động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tranh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cử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đầu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tiên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2001</w:t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đã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một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phú</w:t>
      </w:r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,Bloomberg</w:t>
      </w:r>
      <w:proofErr w:type="spellEnd"/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chỉ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1USD/ 1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để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tiết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kiệm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trong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suốt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12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trưởng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Tuy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nhiên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trong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12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hết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650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triệu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USD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để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từ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thiện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0052C836" wp14:editId="02D77199">
            <wp:extent cx="6096000" cy="4572000"/>
            <wp:effectExtent l="0" t="0" r="0" b="0"/>
            <wp:docPr id="9" name="Picture 9" descr="http://cafef.vcmedia.vn/k:thumb_w/640/2015/7-1436773779471/con-duong-tro-thanh-ty-phu-cua-michael-bloom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274" descr="http://cafef.vcmedia.vn/k:thumb_w/640/2015/7-1436773779471/con-duong-tro-thanh-ty-phu-cua-michael-bloomber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quyết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định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cử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chức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trưởng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nhiệm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thứ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3,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vận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động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thay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đổi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điều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luật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quy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định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thời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hạn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việc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chức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2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nhiệm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một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lần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nữa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thắng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cử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2013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rời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khỏi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ghế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trưởng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nhưng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vẫn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chưa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sẵn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sàng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nghỉ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hưu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Chỉ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sau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rời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khỏi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bàn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việc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trở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vai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trò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CEO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Bloomberg LP.</w:t>
      </w:r>
      <w:proofErr w:type="gramEnd"/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1E2DB3FB" wp14:editId="5A5E6B47">
            <wp:extent cx="6096000" cy="4572000"/>
            <wp:effectExtent l="0" t="0" r="0" b="0"/>
            <wp:docPr id="8" name="Picture 8" descr="http://cafef.vcmedia.vn/k:thumb_w/640/2015/9-1436773957262/con-duong-tro-thanh-ty-phu-cua-michael-bloom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275" descr="http://cafef.vcmedia.vn/k:thumb_w/640/2015/9-1436773957262/con-duong-tro-thanh-ty-phu-cua-michael-bloomber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Nhà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phú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cũng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những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món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đồ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đắt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đỏ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khiến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luôn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trong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trạng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bận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rộn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bằng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phi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1976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tự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chiếc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trực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thăng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mình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-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chiếc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trực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thăng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6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chỗ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Agusta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SPA A109s -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giá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4,5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triệu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USD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vòng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quanh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New York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vào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mỗi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lúc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rảnh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rỗi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73466B34" wp14:editId="6F8B9B68">
            <wp:extent cx="6096000" cy="4572000"/>
            <wp:effectExtent l="0" t="0" r="0" b="0"/>
            <wp:docPr id="7" name="Picture 7" descr="http://cafef.vcmedia.vn/k:thumb_w/640/2015/10-1436774300187/con-duong-tro-thanh-ty-phu-cua-michael-bloom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277" descr="http://cafef.vcmedia.vn/k:thumb_w/640/2015/10-1436774300187/con-duong-tro-thanh-ty-phu-cua-michael-bloomber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cũng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một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kinh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doanh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bất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động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sản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tài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Cùng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2013,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sở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hữu 14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cơ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toàn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cầu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từ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New York, London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đến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Bermuda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thuộc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Tây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Dương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đâu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đâu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cũng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phú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này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xuyên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sửu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dụng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trực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thăng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riêng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bay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dinh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thự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Bermuda,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đến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đây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sau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những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ngày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việc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mệt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nhọc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tránh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xa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chốn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xô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bồ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New York.</w:t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59D5C5D0" wp14:editId="79129F17">
            <wp:extent cx="6096000" cy="4572000"/>
            <wp:effectExtent l="0" t="0" r="0" b="0"/>
            <wp:docPr id="6" name="Picture 6" descr="Một góc Berm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300" descr="Một góc Bermud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Một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góc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Bermuda</w:t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Cuối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nhiệm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văn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phòng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trưởng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phú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tiêu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tốn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ít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nhất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</w:t>
      </w:r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,7</w:t>
      </w:r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triệu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USD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để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cải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lâu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đài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5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tầng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con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phố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số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79.</w:t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5A6E3016" wp14:editId="5037AA10">
            <wp:extent cx="6096000" cy="4572000"/>
            <wp:effectExtent l="0" t="0" r="0" b="0"/>
            <wp:docPr id="5" name="Picture 5" descr="Nhà của Bloomberg tại con phố số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308" descr="Nhà của Bloomberg tại con phố số 7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con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phố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số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79</w:t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cũng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một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từ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thiện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nổi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tiếng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đã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quyên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góp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hơn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2</w:t>
      </w:r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,5</w:t>
      </w:r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USD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qua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các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tổ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chức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từ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thiện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Một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trong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số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tổ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chức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Bloomberg Philanthropies.</w:t>
      </w:r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tuyên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bố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sẽ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tất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cả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tài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sản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mình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trước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chết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0283FB23" wp14:editId="1C462098">
            <wp:extent cx="6096000" cy="4572000"/>
            <wp:effectExtent l="0" t="0" r="0" b="0"/>
            <wp:docPr id="4" name="Picture 4" descr="http://cafef.vcmedia.vn/k:thumb_w/640/2015/14-1436776960852/con-duong-tro-thanh-ty-phu-cua-michael-bloom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313" descr="http://cafef.vcmedia.vn/k:thumb_w/640/2015/14-1436776960852/con-duong-tro-thanh-ty-phu-cua-michael-bloomberg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Món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quà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gần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đây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giá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100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triệu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USD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tặng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học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Cornell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nhằm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xây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dựng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một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học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nghệ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tập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trung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phố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New York.</w:t>
      </w:r>
      <w:proofErr w:type="gramEnd"/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2013,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tặng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350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triệu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USD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học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Johns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Hokins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đánh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dấu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con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số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1</w:t>
      </w:r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,1</w:t>
      </w:r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USD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tặng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ngôi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này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trở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thành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cựu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sinh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viên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hào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phóng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nhất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các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học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Mỹ</w:t>
      </w:r>
      <w:proofErr w:type="spellEnd"/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495D2782" wp14:editId="15C1913A">
            <wp:extent cx="6096000" cy="4572000"/>
            <wp:effectExtent l="0" t="0" r="0" b="0"/>
            <wp:docPr id="3" name="Picture 3" descr="Johns Hopkins - Ngôi trường yêu dấu của nhà tỷ ph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321" descr="Johns Hopkins - Ngôi trường yêu dấu của nhà tỷ phú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Johns Hopkins -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Ngôi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trường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yêu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dấu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tỷ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phú</w:t>
      </w:r>
      <w:proofErr w:type="spellEnd"/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Ngoài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ra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trong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lĩnh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vực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an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ninh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quốc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dân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tài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trợ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hơn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50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triệu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USD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cuộc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vận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động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kiểm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soát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sử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dụng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súng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khắt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khe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hơn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3DED203C" wp14:editId="4CFA602F">
            <wp:extent cx="6096000" cy="4572000"/>
            <wp:effectExtent l="0" t="0" r="0" b="0"/>
            <wp:docPr id="2" name="Picture 2" descr="http://cafef.vcmedia.vn/k:thumb_w/640/2015/18-1436777649886/con-duong-tro-thanh-ty-phu-cua-michael-bloom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324" descr="http://cafef.vcmedia.vn/k:thumb_w/640/2015/18-1436777649886/con-duong-tro-thanh-ty-phu-cua-michael-bloomber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Và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mặc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dù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đã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gác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sự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nghiệp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chính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mình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nhưng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phố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Wall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vẫn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mong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mỏi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sự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trở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của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ông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vai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trò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chính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trị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gia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hyperlink r:id="rId24" w:tgtFrame="_blank" w:tooltip="Nhà Trắng" w:history="1"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Nhà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Trắng</w:t>
        </w:r>
        <w:proofErr w:type="spellEnd"/>
      </w:hyperlink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5C0908">
        <w:rPr>
          <w:rFonts w:asciiTheme="majorHAnsi" w:eastAsia="Times New Roman" w:hAnsiTheme="majorHAnsi" w:cs="Times New Roman"/>
          <w:sz w:val="24"/>
          <w:szCs w:val="24"/>
        </w:rPr>
        <w:t>Đến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nay,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vẫn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chưa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có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động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thái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nào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cho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lần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tranh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cử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này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3C48C25E" wp14:editId="4E555B14">
            <wp:extent cx="6096000" cy="4562475"/>
            <wp:effectExtent l="0" t="0" r="0" b="9525"/>
            <wp:docPr id="1" name="Picture 1" descr="Wall Street hy vọng Bloomberg sẽ quay lại với trò chơi chính tr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325" descr="Wall Street hy vọng Bloomberg sẽ quay lại với trò chơi chính trị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8" w:rsidRPr="005C0908" w:rsidRDefault="005C0908" w:rsidP="005C0908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Wall Street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hy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vọng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Bloomberg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sẽ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sớm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quay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lại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với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ván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cờ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chính</w:t>
      </w:r>
      <w:proofErr w:type="spellEnd"/>
      <w:r w:rsidRPr="005C090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C0908">
        <w:rPr>
          <w:rFonts w:asciiTheme="majorHAnsi" w:eastAsia="Times New Roman" w:hAnsiTheme="majorHAnsi" w:cs="Times New Roman"/>
          <w:sz w:val="24"/>
          <w:szCs w:val="24"/>
        </w:rPr>
        <w:t>trị</w:t>
      </w:r>
      <w:proofErr w:type="spellEnd"/>
    </w:p>
    <w:p w:rsidR="005C0908" w:rsidRPr="005C0908" w:rsidRDefault="005C0908" w:rsidP="005C090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hyperlink r:id="rId26" w:tooltip="Cuộc chiến 'tỷ phú' giữa Bloomberg và Forbes" w:history="1"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Cuộc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chiến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'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tỷ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phú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'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giữa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Bloomberg </w:t>
        </w:r>
        <w:proofErr w:type="spellStart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>và</w:t>
        </w:r>
        <w:proofErr w:type="spellEnd"/>
        <w:r w:rsidRPr="005C0908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</w:rPr>
          <w:t xml:space="preserve"> Forbes</w:t>
        </w:r>
      </w:hyperlink>
    </w:p>
    <w:p w:rsidR="003B64F7" w:rsidRPr="005C0908" w:rsidRDefault="003B64F7">
      <w:pPr>
        <w:rPr>
          <w:rFonts w:asciiTheme="majorHAnsi" w:hAnsiTheme="majorHAnsi"/>
        </w:rPr>
      </w:pPr>
    </w:p>
    <w:sectPr w:rsidR="003B64F7" w:rsidRPr="005C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D1743"/>
    <w:multiLevelType w:val="multilevel"/>
    <w:tmpl w:val="48F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3C"/>
    <w:rsid w:val="003B64F7"/>
    <w:rsid w:val="005C0908"/>
    <w:rsid w:val="005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C0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9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C09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0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9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9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C0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9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C09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0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9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9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7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f.vn/nhan-vat/ty-phu-bloomberg-tu-nhan-vien-trong-xe-den-ong-trum-truyen-thong-va-thi-truong-20120323085715191.chn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://cafef.vn/tai-chinh-quoc-te/cuoc-chien-ty-phu-giua-bloomberg-va-forbes-201101120251368.chn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hyperlink" Target="http://cafef.vn/life-style/ty-phu-bloomberg-tang-hon-1-ty-usd-cho-truong-cu-20130128021944699.chn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cafef.vn/nhan-vat/5-loi-khuyen-thanh-cong-tu-ty-phu-michael-bloomberg-2014062815253424314.chn" TargetMode="External"/><Relationship Id="rId11" Type="http://schemas.openxmlformats.org/officeDocument/2006/relationships/hyperlink" Target="http://cafef.vn/bloomberg.html" TargetMode="External"/><Relationship Id="rId24" Type="http://schemas.openxmlformats.org/officeDocument/2006/relationships/hyperlink" Target="http://cafef.vn/nha-tra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cafef.vn/ty-phu-bloomberg.html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TayLQ</dc:creator>
  <cp:keywords/>
  <dc:description/>
  <cp:lastModifiedBy>TayLQ</cp:lastModifiedBy>
  <cp:revision>2</cp:revision>
  <dcterms:created xsi:type="dcterms:W3CDTF">2015-07-22T10:37:00Z</dcterms:created>
  <dcterms:modified xsi:type="dcterms:W3CDTF">2015-07-22T10:39:00Z</dcterms:modified>
</cp:coreProperties>
</file>