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2026年8月工作报告</w:t>
      </w:r>
    </w:p>
    <w:p>
      <w:pPr>
        <w:pStyle w:val="Subtitle"/>
        <w:jc w:val="center"/>
      </w:pPr>
      <w:r>
        <w:t>步态训练 视觉接入与双臂设备操作</w:t>
      </w:r>
    </w:p>
    <w:p>
      <w:pPr>
        <w:pStyle w:val="Subtitle"/>
        <w:jc w:val="center"/>
      </w:pPr>
      <w:r>
        <w:t>2026年8月</w:t>
      </w:r>
    </w:p>
    <w:p>
      <w:pPr>
        <w:pStyle w:val="Heading1"/>
      </w:pPr>
      <w:r>
        <w:t>一 工作概况</w:t>
      </w:r>
    </w:p>
    <w:p>
      <w:r>
        <w:t>本月围绕步态稳定性、视觉定位和双臂设备操作开展仿真研发，完善训练评估与视觉执行流程，完成孵育箱全流程操作验证。</w:t>
      </w:r>
    </w:p>
    <w:p>
      <w:pPr>
        <w:pStyle w:val="Heading1"/>
      </w:pPr>
      <w:r>
        <w:t>二 重点工作进展</w:t>
      </w:r>
    </w:p>
    <w:p>
      <w:r>
        <w:rPr>
          <w:b/>
        </w:rPr>
        <w:t xml:space="preserve">8月3日至7日  </w:t>
      </w:r>
      <w:r>
        <w:t>排查相机已发布数据通道但无图像输出的问题；批量复核既有步态模型，整理模型筛选依据与评估基线。</w:t>
      </w:r>
    </w:p>
    <w:p>
      <w:r>
        <w:rPr>
          <w:b/>
        </w:rPr>
        <w:t xml:space="preserve">8月10日至11日  </w:t>
      </w:r>
      <w:r>
        <w:t>完善训练、评估和可视化链路，调整步态与停止控制，完成全向停走训练及独立评估。</w:t>
      </w:r>
    </w:p>
    <w:p>
      <w:r>
        <w:rPr>
          <w:b/>
        </w:rPr>
        <w:t xml:space="preserve">8月14日至20日  </w:t>
      </w:r>
      <w:r>
        <w:t>验证图像和深度检测链路，完成物料空中换手；恢复原装把手几何模型，验证绕轴旋转与开门。</w:t>
      </w:r>
    </w:p>
    <w:p>
      <w:r>
        <w:rPr>
          <w:b/>
        </w:rPr>
        <w:t xml:space="preserve">8月24日至25日  </w:t>
      </w:r>
      <w:r>
        <w:t>串联解锁、开门、放料、关门和回锁，调整入架方向与撤离顺序；开展提速试验并保留失败记录。</w:t>
      </w:r>
    </w:p>
    <w:p>
      <w:r>
        <w:rPr>
          <w:b/>
        </w:rPr>
        <w:t xml:space="preserve">8月26日至27日  </w:t>
      </w:r>
      <w:r>
        <w:t>接入视觉标签及观测更新，修正碰撞漏检和点云残影，验证遮挡保持与剩余路径恢复。</w:t>
      </w:r>
    </w:p>
    <w:p>
      <w:r>
        <w:rPr>
          <w:b/>
        </w:rPr>
        <w:t xml:space="preserve">8月28日至31日  </w:t>
      </w:r>
      <w:r>
        <w:t>验证右手开关门、左手搬料的分工，完成全流程复核，保留慢速基线及交付资料。</w:t>
      </w:r>
    </w:p>
    <w:p>
      <w:pPr>
        <w:pStyle w:val="Heading1"/>
      </w:pPr>
      <w:r>
        <w:t>三 主要成果</w:t>
      </w:r>
    </w:p>
    <w:p>
      <w:r>
        <w:t>完成低速平地短动长停策略独立评估，256次试验中249次通过，保留失败样本用于分析薄弱工况。</w:t>
      </w:r>
    </w:p>
    <w:p>
      <w:r>
        <w:t>形成右手操作把手、左手搬料的完整慢速基线，覆盖解锁、开门、放料、关门和回锁，并完成终态核验。</w:t>
      </w:r>
    </w:p>
    <w:p>
      <w:r>
        <w:t>建立视觉遮挡后的状态保持和路径恢复机制，修正碰撞漏检与点云残影，形成可复用的运行与评估记录。</w:t>
      </w:r>
    </w:p>
    <w:p>
      <w:pPr>
        <w:pStyle w:val="Heading1"/>
      </w:pPr>
      <w:r>
        <w:t>四 后续工作</w:t>
      </w:r>
    </w:p>
    <w:p>
      <w:r>
        <w:t>后续需完成步态与双臂作业集成，专项改进原地转向、脚底滑移及步态自然度，补充物料长期稳定和环境扰动测试。设备提速须以慢速基线为参照并保持验收条件一致。当前成果均属仿真，尚无实机验证。</w:t>
      </w:r>
    </w:p>
    <w:p>
      <w:pPr>
        <w:pStyle w:val="Heading1"/>
        <w:pageBreakBefore/>
      </w:pPr>
      <w:r>
        <w:t>技术专题一 原装把手的约束运动规划与核验</w:t>
      </w:r>
    </w:p>
    <w:p>
      <w:r>
        <w:rPr>
          <w:b/>
        </w:rPr>
        <w:t xml:space="preserve">技术难点  </w:t>
      </w:r>
      <w:r>
        <w:t>把手绕固定轴转动，夹爪抓持点却偏离转轴。单独旋转腕部会造成位置不匹配，而柜体周边空间有限，必须同时处理机构约束、关节运动和碰撞风险。</w:t>
      </w:r>
    </w:p>
    <w:p>
      <w:pPr>
        <w:pStyle w:val="Heading2"/>
      </w:pPr>
      <w:r>
        <w:t>解决措施</w:t>
      </w:r>
    </w:p>
    <w:p>
      <w:r>
        <w:t>恢复原装把手几何模型，以固定转轴和夹爪抓持关系计算圆弧运动中的位置与朝向，结合当前关节状态求解连续路径。执行前检查关节范围、接触关系和环境间距，确保中间路径满足机构约束。</w:t>
      </w:r>
    </w:p>
    <w:p>
      <w:r>
        <w:t>路径通过检查后分段执行，同步读取把手角度、指关节和机器人状态，核对机构运动结果。后续动作依据阶段反馈和更新后的场景推进；路径或反馈不符合要求时保持当前状态并记录原因。</w:t>
      </w:r>
    </w:p>
    <w:p>
      <w:pPr>
        <w:keepNext/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53817" cy="2967228"/>
            <wp:docPr id="1" name="Picture 1" descr="8月14日仿真原片中白色夹爪夹住黑色原装把手的近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g_handle_20260814_t200.png"/>
                    <pic:cNvPicPr/>
                  </pic:nvPicPr>
                  <pic:blipFill>
                    <a:blip r:embed="rId10"/>
                    <a:srcRect l="14655" t="29167" r="1724" b="11667"/>
                    <a:stretch>
                      <a:fillRect/>
                    </a:stretch>
                  </pic:blipFill>
                  <pic:spPr>
                    <a:xfrm>
                      <a:off x="0" y="0"/>
                      <a:ext cx="4053817" cy="2967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图1  8月14日仿真局部：白色夹爪与黑色原装把手的接触关系。</w:t>
      </w:r>
    </w:p>
    <w:p>
      <w:r>
        <w:rPr>
          <w:b/>
        </w:rPr>
        <w:t xml:space="preserve">验证成果  </w:t>
      </w:r>
      <w:r>
        <w:t>完成原装把手旋转与开门验证，解决夹爪位置和朝向跟随转轴的问题，为后续解锁、开门和回锁流程提供了动作基础。</w:t>
      </w:r>
    </w:p>
    <w:p>
      <w:pPr>
        <w:pStyle w:val="SourceNote"/>
      </w:pPr>
      <w:r>
        <w:t>依据：8月14日、18日运行日志及开门程序。</w:t>
      </w:r>
    </w:p>
    <w:p>
      <w:pPr>
        <w:pStyle w:val="Heading1"/>
        <w:pageBreakBefore/>
      </w:pPr>
      <w:r>
        <w:t>技术专题二 视觉遮挡下的执行保持与路径恢复</w:t>
      </w:r>
    </w:p>
    <w:p>
      <w:r>
        <w:rPr>
          <w:b/>
        </w:rPr>
        <w:t xml:space="preserve">技术难点  </w:t>
      </w:r>
      <w:r>
        <w:t>手臂和柜门会遮挡视觉标签，使相机无法持续确认物体位置。若继续使用过期观测，规划依据可能偏离当前场景，恢复后的轨迹也可能与机器人状态不连续。</w:t>
      </w:r>
    </w:p>
    <w:p>
      <w:pPr>
        <w:pStyle w:val="Heading2"/>
      </w:pPr>
      <w:r>
        <w:t>解决措施</w:t>
      </w:r>
    </w:p>
    <w:p>
      <w:r>
        <w:t>执行监督持续接收标签观测、时间戳及机器人状态；观测丢失或过期时暂停后续动作，并维持当前姿态和夹持关系。观测恢复后，先检查其稳定性及与当前场景的一致性，再核对实际关节状态与剩余路径起点。</w:t>
      </w:r>
    </w:p>
    <w:p>
      <w:r>
        <w:t>能够直接接续时复核原路径，否则按需生成连接段，并检查连接段及剩余动作的碰撞间距。只有复核通过才恢复执行，未通过则继续保持并记录原因，使恢复条件同时满足观测有效、路径连续和碰撞检查要求。</w:t>
      </w:r>
    </w:p>
    <w:p>
      <w:pPr>
        <w:keepNext/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36975" cy="2967228"/>
            <wp:docPr id="2" name="Picture 2" descr="8月28日右手操作柜门、左手持绿色方块，柜体柜门及方块上有视觉标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middle_cube_carry.png"/>
                    <pic:cNvPicPr/>
                  </pic:nvPicPr>
                  <pic:blipFill>
                    <a:blip r:embed="rId11"/>
                    <a:srcRect l="10345" t="36601" r="6897" b="5882"/>
                    <a:stretch>
                      <a:fillRect/>
                    </a:stretch>
                  </pic:blipFill>
                  <pic:spPr>
                    <a:xfrm>
                      <a:off x="0" y="0"/>
                      <a:ext cx="3236975" cy="2967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图2  8月28日仿真场景：右手操作柜门，左手持料，标签标识目标位置。</w:t>
      </w:r>
    </w:p>
    <w:p>
      <w:r>
        <w:rPr>
          <w:b/>
        </w:rPr>
        <w:t xml:space="preserve">验证成果  </w:t>
      </w:r>
      <w:r>
        <w:t>8月27日在既定仿真场景中完成多次遮挡后的全流程执行，验证原路径接续与补充连接段两种恢复方式。</w:t>
      </w:r>
    </w:p>
    <w:p>
      <w:pPr>
        <w:pStyle w:val="SourceNote"/>
      </w:pPr>
      <w:r>
        <w:t>依据：8月27日视觉执行报告及监督程序；配图为8月28日作业场景。</w:t>
      </w:r>
    </w:p>
    <w:p>
      <w:pPr>
        <w:pStyle w:val="Heading1"/>
        <w:pageBreakBefore/>
      </w:pPr>
      <w:r>
        <w:t>技术专题三 停走转换的稳定性控制与独立验收</w:t>
      </w:r>
    </w:p>
    <w:p>
      <w:r>
        <w:rPr>
          <w:b/>
        </w:rPr>
        <w:t xml:space="preserve">技术难点  </w:t>
      </w:r>
      <w:r>
        <w:t>部分策略能够行走并减速，但进入停稳阶段后仍会失衡。少量演示和训练得分难以暴露该问题，自动重置数据若混入统计，还会高估成功率。</w:t>
      </w:r>
    </w:p>
    <w:p>
      <w:pPr>
        <w:pStyle w:val="Heading2"/>
      </w:pPr>
      <w:r>
        <w:t>解决措施</w:t>
      </w:r>
    </w:p>
    <w:p>
      <w:r>
        <w:t>以目标速度、关节状态、机身姿态和双脚接触为输入，区分运动与零速停止指令。保持已有行走分支，停止时围绕实测姿态施加有限修正；连续稳定后保存姿态作为保持参考，速度、姿态或支撑超限时重新恢复。</w:t>
      </w:r>
    </w:p>
    <w:p>
      <w:r>
        <w:t>验收采用独立试验，同时检查运动跟踪、提前终止和末段残余速度。首次失败后排除后续自动重置轨迹，完成全程且满足质量要求才计为成功，并以初始试验总数作为分母，分别核验停稳能力与完整停走过程。</w:t>
      </w:r>
    </w:p>
    <w:p>
      <w:pPr>
        <w:keepNext/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17920" cy="2176272"/>
            <wp:docPr id="3" name="Picture 3" descr="8月11日低速平地停走独立评估结果，256次中249次通过，运动阶段失败4次，停车阶段失败3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gust_stop_evalu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76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图3  8月11日停走评估：完整通过与两个阶段的失败分布。</w:t>
      </w:r>
    </w:p>
    <w:p>
      <w:r>
        <w:rPr>
          <w:b/>
        </w:rPr>
        <w:t xml:space="preserve">验证成果  </w:t>
      </w:r>
      <w:r>
        <w:t>低速平地试验每次运动0.6秒后停止39.4秒，256次有249次全程通过；运动阶段失败4次、停稳阶段失败3次。评估明确了停止稳定性及原地转向的后续改进方向。</w:t>
      </w:r>
    </w:p>
    <w:p>
      <w:pPr>
        <w:pStyle w:val="SourceNote"/>
      </w:pPr>
      <w:r>
        <w:t>依据：8月7日与11日训练交接、单回合严格评估日志；图表据同次评估绘制。</w:t>
      </w:r>
    </w:p>
    <w:p>
      <w:pPr>
        <w:pStyle w:val="Heading1"/>
        <w:pageBreakBefore/>
      </w:pPr>
      <w:r>
        <w:t>技术路线与核心技术栈</w:t>
      </w:r>
    </w:p>
    <w:p>
      <w:pPr>
        <w:spacing w:line="320" w:lineRule="exact"/>
      </w:pPr>
      <w:r>
        <w:t>步态训练与视觉双臂作业分别验证，通过独立评估和执行反馈确认结果。</w:t>
      </w:r>
    </w:p>
    <w:p>
      <w:pPr>
        <w:spacing w:line="300" w:lineRule="exact" w:after="80"/>
      </w:pPr>
      <w:r>
        <w:rPr>
          <w:b/>
        </w:rPr>
        <w:t xml:space="preserve">步态训练路线  </w:t>
      </w:r>
      <w:r>
        <w:t>仿真环境 → 策略训练 → 停止恢复优化 → 独立批量评估 → 模型筛选</w:t>
      </w:r>
    </w:p>
    <w:p>
      <w:pPr>
        <w:spacing w:line="300" w:lineRule="exact" w:after="80"/>
      </w:pPr>
      <w:r>
        <w:rPr>
          <w:b/>
        </w:rPr>
        <w:t xml:space="preserve">设备操作路线  </w:t>
      </w:r>
      <w:r>
        <w:t>图像与深度 → 位置和朝向 → 双臂路径 → 碰撞检查 → 执行反馈与异常恢复</w:t>
      </w:r>
    </w:p>
    <w:p>
      <w:pPr>
        <w:pStyle w:val="Heading2"/>
      </w:pPr>
      <w:r>
        <w:t>核心技术栈及分工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944"/>
        <w:gridCol w:w="2952"/>
        <w:gridCol w:w="4982"/>
      </w:tblGrid>
      <w:tr>
        <w:trPr>
          <w:cantSplit/>
          <w:tblHeader/>
        </w:trPr>
        <w:tc>
          <w:tcPr>
            <w:tcW w:type="dxa" w:w="1944"/>
            <w:vAlign w:val="center"/>
            <w:shd w:fill="355764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技术名称</w:t>
            </w:r>
          </w:p>
        </w:tc>
        <w:tc>
          <w:tcPr>
            <w:tcW w:type="dxa" w:w="2952"/>
            <w:vAlign w:val="center"/>
            <w:shd w:fill="355764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功能定位</w:t>
            </w:r>
          </w:p>
        </w:tc>
        <w:tc>
          <w:tcPr>
            <w:tcW w:type="dxa" w:w="4982"/>
            <w:vAlign w:val="center"/>
            <w:shd w:fill="355764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项目应用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ROS 2</w:t>
            </w:r>
          </w:p>
        </w:tc>
        <w:tc>
          <w:tcPr>
            <w:tcW w:type="dxa" w:w="295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视觉、规划与控制程序的通信框架。</w:t>
            </w:r>
          </w:p>
        </w:tc>
        <w:tc>
          <w:tcPr>
            <w:tcW w:type="dxa" w:w="498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传递图像、目标位置、关节状态和动作指令，连接感知与执行模块。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MoveIt 2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机械臂运动计算与路径规划工具。</w:t>
            </w:r>
          </w:p>
        </w:tc>
        <w:tc>
          <w:tcPr>
            <w:tcW w:type="dxa" w:w="498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计算双臂交接、把手圆弧、入架及撤离路径，并配合自定义路径检查。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Gazebo</w:t>
            </w:r>
          </w:p>
        </w:tc>
        <w:tc>
          <w:tcPr>
            <w:tcW w:type="dxa" w:w="295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计算接触、重力与关节运动的物理仿真平台。</w:t>
            </w:r>
          </w:p>
        </w:tc>
        <w:tc>
          <w:tcPr>
            <w:tcW w:type="dxa" w:w="498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提供相机与设备反馈，验证夹持、开门、放料和回锁。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Isaac Lab / PPO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并行仿真训练平台与策略学习算法。</w:t>
            </w:r>
          </w:p>
        </w:tc>
        <w:tc>
          <w:tcPr>
            <w:tcW w:type="dxa" w:w="498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训练全向停走策略，并通过独立批量试验筛选模型。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RGB-D / OpenCV</w:t>
              <w:br/>
              <w:t>AprilTag</w:t>
            </w:r>
          </w:p>
        </w:tc>
        <w:tc>
          <w:tcPr>
            <w:tcW w:type="dxa" w:w="295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彩色与深度数据、图像处理工具及定位标签。</w:t>
            </w:r>
          </w:p>
        </w:tc>
        <w:tc>
          <w:tcPr>
            <w:tcW w:type="dxa" w:w="498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以颜色、距离和标签估计目标位置与朝向，为观测有效性检查提供数据。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Python / C++</w:t>
              <w:br/>
              <w:t>FCL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项目编程语言与几何碰撞检查库。</w:t>
            </w:r>
          </w:p>
        </w:tc>
        <w:tc>
          <w:tcPr>
            <w:tcW w:type="dxa" w:w="498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实现任务衔接和恢复监督，检查物体间距并修正碰撞漏检。</w:t>
            </w:r>
          </w:p>
        </w:tc>
      </w:tr>
    </w:tbl>
    <w:p>
      <w:pPr>
        <w:pStyle w:val="Heading2"/>
      </w:pPr>
      <w:r>
        <w:t>关键技术术语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232"/>
        <w:gridCol w:w="7646"/>
      </w:tblGrid>
      <w:tr>
        <w:trPr>
          <w:cantSplit/>
          <w:tblHeader/>
        </w:trPr>
        <w:tc>
          <w:tcPr>
            <w:tcW w:type="dxa" w:w="2232"/>
            <w:vAlign w:val="center"/>
            <w:shd w:fill="355764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7646"/>
            <w:vAlign w:val="center"/>
            <w:shd w:fill="355764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强化学习与PPO</w:t>
            </w:r>
          </w:p>
        </w:tc>
        <w:tc>
          <w:tcPr>
            <w:tcW w:type="dxa" w:w="7646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根据试验反馈更新控制策略；PPO是本项目采用的策略优化算法。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RGB-D与HSV</w:t>
            </w:r>
          </w:p>
        </w:tc>
        <w:tc>
          <w:tcPr>
            <w:tcW w:type="dxa" w:w="7646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彩色与深度数据用于空间定位，HSV用于按颜色范围提取目标。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AprilTag</w:t>
            </w:r>
          </w:p>
        </w:tc>
        <w:tc>
          <w:tcPr>
            <w:tcW w:type="dxa" w:w="7646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通过已知尺寸的黑白标记，估计目标的位置与朝向。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位姿与坐标变换</w:t>
            </w:r>
          </w:p>
        </w:tc>
        <w:tc>
          <w:tcPr>
            <w:tcW w:type="dxa" w:w="7646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位姿包括位置和朝向；坐标变换将观测换算至统一参考系。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逆运动学 IK</w:t>
            </w:r>
          </w:p>
        </w:tc>
        <w:tc>
          <w:tcPr>
            <w:tcW w:type="dxa" w:w="7646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根据夹爪目标位姿计算关节角度，并筛选满足运动约束的解。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路径 轨迹与重规划</w:t>
            </w:r>
          </w:p>
        </w:tc>
        <w:tc>
          <w:tcPr>
            <w:tcW w:type="dxa" w:w="7646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路径规定运动位置，轨迹规定时序；重规划按当前状态更新路径。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点云与自体过滤</w:t>
            </w:r>
          </w:p>
        </w:tc>
        <w:tc>
          <w:tcPr>
            <w:tcW w:type="dxa" w:w="7646"/>
            <w:vAlign w:val="center"/>
            <w:shd w:fill="F1F5F6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点云表示空间表面；自体过滤去除机器人自身对应的观测点。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独立试验与回合</w:t>
            </w:r>
          </w:p>
        </w:tc>
        <w:tc>
          <w:tcPr>
            <w:tcW w:type="dxa" w:w="7646"/>
            <w:vAlign w:val="center"/>
            <w:shd w:fill="FFFFFF"/>
          </w:tcPr>
          <w:p>
            <w:pPr>
              <w:keepNext w:val="0"/>
              <w:spacing w:before="0" w:after="0" w:line="280" w:lineRule="exact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9"/>
              </w:rPr>
              <w:t>每次初始试验单独计数，首次失败后的自动重置不计入成功结果。</w:t>
            </w:r>
          </w:p>
        </w:tc>
      </w:tr>
    </w:tbl>
    <w:p>
      <w:pPr>
        <w:pStyle w:val="Heading1"/>
        <w:pageBreakBefore/>
      </w:pPr>
      <w:r>
        <w:t>步态训练与孵育箱操作的工程划分</w:t>
      </w:r>
    </w:p>
    <w:p>
      <w:pPr>
        <w:pStyle w:val="Implementation"/>
      </w:pPr>
      <w:r>
        <w:t>8月并行推进步态训练和孵育箱视觉双臂操作。前者关注腿部平衡、速度跟踪及停车稳定性，需要大量并行试验；后者关注目标定位、双臂协调和设备接触，需要保留装配几何、碰撞关系与执行反馈。因此，两套工程分别配置模型资产、运行环境和验收程序，独立保存训练权重与操作轨迹。本月完成各自验证，尚未贯通为移动与操作一体化流程。</w:t>
      </w:r>
    </w:p>
    <w:p>
      <w:pPr>
        <w:pStyle w:val="Heading2"/>
      </w:pPr>
      <w:r>
        <w:t>步态工程以策略训练和独立评估为主</w:t>
      </w:r>
    </w:p>
    <w:p>
      <w:pPr>
        <w:pStyle w:val="Implementation"/>
      </w:pPr>
      <w:r>
        <w:t>步态工作先在/home/liu/test/h1_2_train复核MuJoCo Playground与Brax训练结果，再在/home/liu/test/h1_2_isaaclab建立Isaac Lab与RSL-RL训练流程。训练资产由本地H1_2机器人URDF生成，保留质量、惯量和关节结构，采用双脚碰撞模型并转换为USD。任务环境采集机身、腿部及接触状态，PPO策略输出腿部动作；停车分支在保留既有移动策略的基础上学习修正，并由状态机完成稳定捕获与恢复。运行链为资产转换、任务注册、热启动训练、检查点筛选和独立评估。</w:t>
      </w:r>
    </w:p>
    <w:p>
      <w:pPr>
        <w:pStyle w:val="Heading2"/>
      </w:pPr>
      <w:r>
        <w:t>设备操作工程以几何约束和执行反馈为主</w:t>
      </w:r>
    </w:p>
    <w:p>
      <w:pPr>
        <w:pStyle w:val="Implementation"/>
      </w:pPr>
      <w:r>
        <w:t>孵育箱工程在ROS 2 Jazzy、MoveIt 2和Gazebo Harmonic中运行，以本地SolidWorks装配导出的模型统一显示、碰撞和规划场景。仿真相机提供彩色与深度图，视觉程序通过颜色分割、深度映射及AprilTag求取目标位姿；运动程序根据抓持关系和把手、柜门转轴求解双臂路径。碰撞审计确认整段路径满足约束后，执行监督器结合关节、接触和标签状态推进动作。遮挡恢复属于该操作链内部：先保持，再依据新鲜观测核验接续路径。</w:t>
      </w:r>
    </w:p>
    <w:p>
      <w:pPr>
        <w:pStyle w:val="Heading2"/>
      </w:pPr>
      <w:r>
        <w:t>验收口径与工作区</w:t>
      </w:r>
    </w:p>
    <w:p>
      <w:pPr>
        <w:pStyle w:val="Implementation"/>
        <w:keepNext/>
      </w:pPr>
      <w:r>
        <w:t>步态验收按初始独立试验计数，首次失败后的自动重置不计成功，低速平地短动长停评估通过249次，共开展256次试验。设备操作验收核对感知、计划、轨迹及终态，并保留遮挡恢复记录；月底采用右手操作把手、左手搬料的慢速基线。训练模型的简化碰撞和设备模型的完整装配对应不同目标，两类结果均限于仿真。后文WS表示孵育箱操作工作区，定义如下。</w:t>
      </w:r>
    </w:p>
    <w:p>
      <w:pPr>
        <w:pStyle w:val="Command"/>
        <w:keepNext/>
      </w:pPr>
      <w:r>
        <w:t>cd /home/liu/h1_moveit</w:t>
      </w:r>
    </w:p>
    <w:p>
      <w:pPr>
        <w:pStyle w:val="Command"/>
        <w:keepNext w:val="0"/>
        <w:spacing w:after="140"/>
      </w:pPr>
      <w:r>
        <w:t>WS="$PWD/h1_2_ros2_ws_claude_2026-07-30/h1_2_ros2_ws"</w:t>
      </w:r>
    </w:p>
    <w:p>
      <w:pPr>
        <w:pStyle w:val="Heading2"/>
      </w:pPr>
      <w:r>
        <w:t>本地实施依据</w:t>
      </w:r>
    </w:p>
    <w:p>
      <w:pPr>
        <w:pStyle w:val="Reference"/>
      </w:pPr>
      <w:r/>
      <w:hyperlink r:id="rId25" w:history="1">
        <w:r>
          <w:rPr>
            <w:color w:val="225E78"/>
            <w:u w:val="single"/>
          </w:rPr>
          <w:t>步态环境与资产说明</w:t>
        </w:r>
      </w:hyperlink>
      <w:r>
        <w:t xml:space="preserve">  环境 模型转换及任务注册</w:t>
      </w:r>
    </w:p>
    <w:p>
      <w:pPr>
        <w:pStyle w:val="Reference"/>
      </w:pPr>
      <w:r/>
      <w:hyperlink r:id="rId26" w:history="1">
        <w:r>
          <w:rPr>
            <w:color w:val="225E78"/>
            <w:u w:val="single"/>
          </w:rPr>
          <w:t>8月11日训练与验收交接</w:t>
        </w:r>
      </w:hyperlink>
      <w:r>
        <w:t xml:space="preserve">  训练流程及严格评估</w:t>
      </w:r>
    </w:p>
    <w:p>
      <w:pPr>
        <w:pStyle w:val="Reference"/>
      </w:pPr>
      <w:r/>
      <w:hyperlink r:id="rId32" w:history="1">
        <w:r>
          <w:rPr>
            <w:color w:val="225E78"/>
            <w:u w:val="single"/>
          </w:rPr>
          <w:t>8月视觉双臂研发日志</w:t>
        </w:r>
      </w:hyperlink>
      <w:r>
        <w:t xml:space="preserve">  仿真环境 原装资产与运行链</w:t>
      </w:r>
    </w:p>
    <w:p>
      <w:pPr>
        <w:pStyle w:val="Reference"/>
      </w:pPr>
      <w:r/>
      <w:hyperlink r:id="rId38" w:history="1">
        <w:r>
          <w:rPr>
            <w:color w:val="225E78"/>
            <w:u w:val="single"/>
          </w:rPr>
          <w:t>8月31日慢速基线发布说明</w:t>
        </w:r>
      </w:hyperlink>
      <w:r>
        <w:t xml:space="preserve">  月底分工与接受范围</w:t>
      </w:r>
    </w:p>
    <w:p>
      <w:pPr>
        <w:pStyle w:val="Heading1"/>
        <w:pageBreakBefore/>
      </w:pPr>
      <w:r>
        <w:t>步态训练任务建模与控制算法</w:t>
      </w:r>
    </w:p>
    <w:p>
      <w:pPr>
        <w:pStyle w:val="Heading2"/>
      </w:pPr>
      <w:r>
        <w:t>实现目标与研发路径</w:t>
      </w:r>
    </w:p>
    <w:p>
      <w:pPr>
        <w:pStyle w:val="Implementation"/>
      </w:pPr>
      <w:r>
        <w:t>8月的步态工作首先复核既有MuJoCo Playground与Brax PPO训练结果，随后在Isaac Lab环境建立训练、模型筛选和批量评估流程。8月7日记录表明，少量可视化演示不能代表总体稳定性；选定的前期模型在256个并行环境的评估中仍有29.4%提前终止。因此，本月将判断依据转为固定指令、独立样本及失败分类，区分正常结束、跌倒、关节越界和运动质量不合格，并将持续行走与运动后停车分开验收。</w:t>
      </w:r>
    </w:p>
    <w:p>
      <w:pPr>
        <w:pStyle w:val="Reference"/>
      </w:pPr>
      <w:r>
        <w:t>实施依据 [1]</w:t>
      </w:r>
    </w:p>
    <w:p>
      <w:pPr>
        <w:pStyle w:val="Heading2"/>
      </w:pPr>
      <w:r>
        <w:t>环境与机器人资产配置</w:t>
      </w:r>
    </w:p>
    <w:p>
      <w:pPr>
        <w:pStyle w:val="Implementation"/>
      </w:pPr>
      <w:r>
        <w:t>Isaac Lab任务工程位于/home/liu/test/h1_2_isaaclab，历史框架目录为/home/liu/robot/gym_sim/IsaacLab-3.0-beta2，使用Isaac Sim 6.0.1-rc.7和RSL-RL PPO。通过本地URDF生成训练专用模型，保留连杆、质量、惯量和关节拓扑，移除ROS附件与全身碰撞，只保留双脚箱形碰撞，并修正右肩惯量；再转换为非固定基座的USD资产。物理步长为4毫秒，每5个物理步执行一次策略，形成50Hz控制。该模型用于平地步态研究，与含完整碰撞网格的Gazebo设备操作模型用途不同。</w:t>
      </w:r>
    </w:p>
    <w:p>
      <w:pPr>
        <w:pStyle w:val="Reference"/>
      </w:pPr>
      <w:r>
        <w:t>实施依据 [2] [3]</w:t>
      </w:r>
    </w:p>
    <w:p>
      <w:pPr>
        <w:pStyle w:val="Heading2"/>
      </w:pPr>
      <w:r>
        <w:t>策略输入与动作约束</w:t>
      </w:r>
    </w:p>
    <w:p>
      <w:pPr>
        <w:pStyle w:val="Implementation"/>
      </w:pPr>
      <w:r>
        <w:t>策略使用78维观测，包括躯干角速度与竖直方向、12个腿部关节的位置和速度、前次动作、目标速度、历史误差、足底接触与步态相位等。网络输出12个腿部动作，经过关节目标转换、限位和变化率限制后交给仿真执行；环境按速度跟踪、身体姿态、足端接触、关节余量和步宽等指标计算回报。PPO利用并行环境采样更新策略，价值网络估计动作的长期收益。移动能力与停车能力采用条件分支，停车训练保留既有移动网络及其归一化，避免修改停止策略时同时破坏已形成的行走行为。</w:t>
      </w:r>
    </w:p>
    <w:p>
      <w:pPr>
        <w:pStyle w:val="Reference"/>
      </w:pPr>
      <w:r>
        <w:t>实施依据 [3] [6] [7]</w:t>
      </w:r>
    </w:p>
    <w:p>
      <w:pPr>
        <w:pStyle w:val="Heading2"/>
      </w:pPr>
      <w:r>
        <w:t>停车失稳的处理机制</w:t>
      </w:r>
    </w:p>
    <w:p>
      <w:pPr>
        <w:pStyle w:val="Implementation"/>
      </w:pPr>
      <w:r>
        <w:t>停车并非把速度指令置零后锁死关节。零指令进入停止分支时，程序先以实测关节姿态作为参考，叠加受限残差动作完成减速；只有姿态、速度和双脚接触连续满足稳定条件，才记录当时真实站姿并进入保持。保持期间若身体倾斜、速度回升或脚底接触失效，则解除捕获，重新围绕实测姿态调节。进入和退出使用不同阈值形成迟滞，减少边界反复切换。停止上下文复用78维接口中的12维切片并独立缩放；移动和停止共用原观测维度，停止分支内部由状态机管理减速与保持。</w:t>
      </w:r>
    </w:p>
    <w:p>
      <w:pPr>
        <w:pStyle w:val="Reference"/>
      </w:pPr>
      <w:r>
        <w:t>实施依据 [6] [7]</w:t>
      </w:r>
    </w:p>
    <w:p>
      <w:pPr>
        <w:pStyle w:val="Heading1"/>
        <w:pageBreakBefore/>
      </w:pPr>
      <w:r>
        <w:t>步态训练启动与模型筛选</w:t>
      </w:r>
    </w:p>
    <w:p>
      <w:pPr>
        <w:pStyle w:val="Heading2"/>
      </w:pPr>
      <w:r>
        <w:t>训练执行与模型筛选</w:t>
      </w:r>
    </w:p>
    <w:p>
      <w:pPr>
        <w:pStyle w:val="Implementation"/>
      </w:pPr>
      <w:r>
        <w:t>8月10日至11日的正式任务从本地V11模型热启动，使用8192个并行环境运行16小时。启动脚本统一记录日志、状态、运行名和断点；完成状态为completed_duration，超时退出码124按脚本约定表示达到时长。模型筛选同时检查训练配置、源码和资产一致性，验证移动分支15组张量保持不变，再比较候选检查点的独立验收结果，最终选用model_17250.pt，而非默认采用最后一份权重。训练框架迁移涉及不同物理引擎及模型格式，不能将Brax参数直接当作RSL-RL权重续训。</w:t>
      </w:r>
    </w:p>
    <w:p>
      <w:pPr>
        <w:pStyle w:val="Reference"/>
      </w:pPr>
      <w:r>
        <w:t>实施依据 [3] [4]</w:t>
      </w:r>
    </w:p>
    <w:p>
      <w:pPr>
        <w:pStyle w:val="Heading2"/>
      </w:pPr>
      <w:r>
        <w:t>外部任务注册</w:t>
      </w:r>
    </w:p>
    <w:p>
      <w:pPr>
        <w:pStyle w:val="Implementation"/>
        <w:keepNext/>
      </w:pPr>
      <w:r>
        <w:t>训练工程通过可编辑安装注册到Isaac Lab解释器中，框架随后按任务名称加载机器人环境和PPO配置。清除Conda环境标识可避免选择错误的解释器。该入口保留于项目运行说明。</w:t>
      </w:r>
    </w:p>
    <w:p>
      <w:pPr>
        <w:pStyle w:val="Command"/>
        <w:keepNext/>
      </w:pPr>
      <w:r>
        <w:t>TRAIN=/home/liu/test/h1_2_isaaclab</w:t>
      </w:r>
    </w:p>
    <w:p>
      <w:pPr>
        <w:pStyle w:val="Command"/>
        <w:keepNext/>
      </w:pPr>
      <w:r>
        <w:t>ISAAC=/home/liu/robot/gym_sim/IsaacLab-3.0-beta2</w:t>
      </w:r>
    </w:p>
    <w:p>
      <w:pPr>
        <w:pStyle w:val="Command"/>
        <w:keepNext/>
      </w:pPr>
      <w:r>
        <w:t>env -u CONDA_PREFIX -u CONDA_DEFAULT_ENV \</w:t>
      </w:r>
    </w:p>
    <w:p>
      <w:pPr>
        <w:pStyle w:val="Command"/>
        <w:keepNext/>
      </w:pPr>
      <w:r>
        <w:t xml:space="preserve">  "$ISAAC/isaaclab.sh" -p -m pip install -e \</w:t>
      </w:r>
    </w:p>
    <w:p>
      <w:pPr>
        <w:pStyle w:val="Command"/>
        <w:keepNext w:val="0"/>
        <w:spacing w:after="140"/>
      </w:pPr>
      <w:r>
        <w:t xml:space="preserve">  "$TRAIN/source/h1_2_isaaclab"</w:t>
      </w:r>
    </w:p>
    <w:p>
      <w:pPr>
        <w:pStyle w:val="Reference"/>
      </w:pPr>
      <w:r>
        <w:t>实施依据 [2]</w:t>
      </w:r>
    </w:p>
    <w:p>
      <w:pPr>
        <w:pStyle w:val="Heading2"/>
      </w:pPr>
      <w:r>
        <w:t>正式训练入口</w:t>
      </w:r>
    </w:p>
    <w:p>
      <w:pPr>
        <w:pStyle w:val="Implementation"/>
        <w:keepNext/>
      </w:pPr>
      <w:r>
        <w:t>以下调用方式依据保留脚本与历史状态整理。日志确认任务使用8192个环境完成16小时训练；启动前需恢复对应框架、V11断点和GPU环境。</w:t>
      </w:r>
    </w:p>
    <w:p>
      <w:pPr>
        <w:pStyle w:val="Command"/>
        <w:keepNext/>
      </w:pPr>
      <w:r>
        <w:t>TRAIN=/home/liu/test/h1_2_isaaclab</w:t>
      </w:r>
    </w:p>
    <w:p>
      <w:pPr>
        <w:pStyle w:val="Command"/>
        <w:keepNext/>
      </w:pPr>
      <w:r>
        <w:t>H12_RUN_NAME=omni_recover_stop_v12_v11m150_16h_8192_r1 \</w:t>
      </w:r>
    </w:p>
    <w:p>
      <w:pPr>
        <w:pStyle w:val="Command"/>
        <w:keepNext/>
      </w:pPr>
      <w:r>
        <w:t>H12_TRAIN_DURATION=16h H12_NUM_ENVS=8192 \</w:t>
      </w:r>
    </w:p>
    <w:p>
      <w:pPr>
        <w:pStyle w:val="Command"/>
        <w:keepNext w:val="0"/>
        <w:spacing w:after="140"/>
      </w:pPr>
      <w:r>
        <w:t>bash "$TRAIN/scripts/train_h12_omni_recover_stop_v12.sh"</w:t>
      </w:r>
    </w:p>
    <w:p>
      <w:pPr>
        <w:pStyle w:val="Reference"/>
      </w:pPr>
      <w:r>
        <w:t>实施依据 [3] [4]</w:t>
      </w:r>
    </w:p>
    <w:p>
      <w:pPr>
        <w:pStyle w:val="Heading2"/>
      </w:pPr>
      <w:r>
        <w:t>断点与完成状态</w:t>
      </w:r>
    </w:p>
    <w:p>
      <w:pPr>
        <w:pStyle w:val="Implementation"/>
      </w:pPr>
      <w:r>
        <w:t>脚本检查热启动权重存在后，建立该次训练的日志及状态文件，并由timeout控制训练时长。达到16小时后写入completed_duration；程序错误则记录失败。候选权重同时核对配置快照、模型结构和移动分支冻结状态，进入独立验收后再确定保留版本。</w:t>
      </w:r>
    </w:p>
    <w:p>
      <w:pPr>
        <w:pStyle w:val="Reference"/>
      </w:pPr>
      <w:r>
        <w:t>实施依据 [3] [4]</w:t>
      </w:r>
    </w:p>
    <w:p>
      <w:pPr>
        <w:pStyle w:val="Heading1"/>
        <w:pageBreakBefore/>
      </w:pPr>
      <w:r>
        <w:t>低速平地独立评估与验收结果</w:t>
      </w:r>
    </w:p>
    <w:p>
      <w:pPr>
        <w:pStyle w:val="Heading2"/>
      </w:pPr>
      <w:r>
        <w:t>试验条件与统计口径</w:t>
      </w:r>
    </w:p>
    <w:p>
      <w:pPr>
        <w:pStyle w:val="Implementation"/>
      </w:pPr>
      <w:r>
        <w:t>严格评估包含256次低速平地独立试验：每次运动0.6秒，随后以零指令停止39.4秒，总时长40秒；另行检查最后100步的残余速度。失败后的自动重置轨迹永久排除，只有运动跟踪、停止尾速和全程存活均合格才计成功。最终249次成功，4次在运动阶段失败，3次在停止阶段失败；97.27%是完整流程比例，98.81%仅是通过运动阶段后的条件停车比例。该结果不代表高速、复杂地面或实体机器人能力。</w:t>
      </w:r>
    </w:p>
    <w:p>
      <w:pPr>
        <w:pStyle w:val="Reference"/>
      </w:pPr>
      <w:r>
        <w:t>实施依据 [5] [8]</w:t>
      </w:r>
    </w:p>
    <w:p>
      <w:pPr>
        <w:pStyle w:val="Heading2"/>
      </w:pPr>
      <w:r>
        <w:t>同口径验收入口</w:t>
      </w:r>
    </w:p>
    <w:p>
      <w:pPr>
        <w:pStyle w:val="Implementation"/>
        <w:keepNext/>
      </w:pPr>
      <w:r>
        <w:t>以下调用按实际评估日志参数与脚本接口整理，采用单个2000步周期，保持原配置一致性检查和质量阈值。检查点、训练快照和对应任务环境需完整恢复。</w:t>
      </w:r>
    </w:p>
    <w:p>
      <w:pPr>
        <w:pStyle w:val="Command"/>
        <w:keepNext/>
      </w:pPr>
      <w:r>
        <w:t>TRAIN=/home/liu/test/h1_2_isaaclab</w:t>
      </w:r>
    </w:p>
    <w:p>
      <w:pPr>
        <w:pStyle w:val="Command"/>
        <w:keepNext/>
      </w:pPr>
      <w:r>
        <w:t>ISAAC=/home/liu/robot/gym_sim/IsaacLab-3.0-beta2</w:t>
      </w:r>
    </w:p>
    <w:p>
      <w:pPr>
        <w:pStyle w:val="Command"/>
        <w:keepNext/>
      </w:pPr>
      <w:r>
        <w:t>RUN="$ISAAC/logs/rsl_rl/h1_2_human_omni_recover_stop_gait_v12/"</w:t>
      </w:r>
    </w:p>
    <w:p>
      <w:pPr>
        <w:pStyle w:val="Command"/>
        <w:keepNext/>
      </w:pPr>
      <w:r>
        <w:t>RUN+="2026-08-10_18-09-30_omni_recover_stop_v12_v11m150_16h_8192_r1"</w:t>
      </w:r>
    </w:p>
    <w:p>
      <w:pPr>
        <w:pStyle w:val="Command"/>
        <w:keepNext/>
      </w:pPr>
      <w:r>
        <w:t>cd "$ISAAC"</w:t>
      </w:r>
    </w:p>
    <w:p>
      <w:pPr>
        <w:pStyle w:val="Command"/>
        <w:keepNext/>
      </w:pPr>
      <w:r>
        <w:t>env -u CONDA_PREFIX -u CONDA_DEFAULT_ENV \</w:t>
      </w:r>
    </w:p>
    <w:p>
      <w:pPr>
        <w:pStyle w:val="Command"/>
        <w:keepNext/>
      </w:pPr>
      <w:r>
        <w:t xml:space="preserve">  ./isaaclab.sh -p "$TRAIN/scripts/eval_h12_omni_transitions.py" \</w:t>
      </w:r>
    </w:p>
    <w:p>
      <w:pPr>
        <w:pStyle w:val="Command"/>
        <w:keepNext/>
      </w:pPr>
      <w:r>
        <w:t xml:space="preserve">  "$RUN/model_17250.pt" \</w:t>
      </w:r>
    </w:p>
    <w:p>
      <w:pPr>
        <w:pStyle w:val="Command"/>
        <w:keepNext/>
      </w:pPr>
      <w:r>
        <w:t xml:space="preserve">  --task H12-Human-Omni-Recover-Stop-Gait-Flat-v12 \</w:t>
      </w:r>
    </w:p>
    <w:p>
      <w:pPr>
        <w:pStyle w:val="Command"/>
        <w:keepNext/>
      </w:pPr>
      <w:r>
        <w:t xml:space="preserve">  --num-envs 256 --num-steps 2000 --episode-length 2000 \</w:t>
      </w:r>
    </w:p>
    <w:p>
      <w:pPr>
        <w:pStyle w:val="Command"/>
        <w:keepNext/>
      </w:pPr>
      <w:r>
        <w:t xml:space="preserve">  --motion-steps 30 --stop-steps 1970 --stop-tail-steps 100 \</w:t>
      </w:r>
    </w:p>
    <w:p>
      <w:pPr>
        <w:pStyle w:val="Command"/>
        <w:keepNext w:val="0"/>
        <w:spacing w:after="140"/>
      </w:pPr>
      <w:r>
        <w:t xml:space="preserve">  --motion-command-scale 0.15 --viz none</w:t>
      </w:r>
    </w:p>
    <w:p>
      <w:pPr>
        <w:pStyle w:val="Reference"/>
      </w:pPr>
      <w:r>
        <w:t>实施依据 [5] [8]</w:t>
      </w:r>
    </w:p>
    <w:p>
      <w:pPr>
        <w:pStyle w:val="Heading2"/>
      </w:pPr>
      <w:r>
        <w:t>判定与失败样本</w:t>
      </w:r>
    </w:p>
    <w:p>
      <w:pPr>
        <w:pStyle w:val="Implementation"/>
      </w:pPr>
      <w:r>
        <w:t>运动阶段分别检查平移和转向跟踪误差，停车末段分别检查平移和转向残余速度。首次失败后，该试验的自动重置轨迹不再参与成功统计；正常达到时长且通过质量判定条件才计成功。严格日志同时保存失败阶段及原因，便于区分行走跟踪问题与停车姿态失稳。</w:t>
      </w:r>
    </w:p>
    <w:p>
      <w:pPr>
        <w:pStyle w:val="Reference"/>
      </w:pPr>
      <w:r>
        <w:t>实施依据 [5] [8]</w:t>
      </w:r>
    </w:p>
    <w:p>
      <w:pPr>
        <w:pStyle w:val="Heading1"/>
        <w:pageBreakBefore/>
      </w:pPr>
      <w:r>
        <w:t>训练软件来源与模型资产配置</w:t>
      </w:r>
    </w:p>
    <w:p>
      <w:pPr>
        <w:pStyle w:val="Heading2"/>
      </w:pPr>
      <w:r>
        <w:t>下载出处与实际使用依据</w:t>
      </w:r>
    </w:p>
    <w:p>
      <w:pPr>
        <w:pStyle w:val="Implementation"/>
      </w:pPr>
      <w:r>
        <w:t>训练软件采用MuJoCo Playground、Brax、Isaac Lab与RSL-RL。下列链接为官方获取入口；实际使用版本由本地运行说明及训练日志记录，其中Isaac Lab为3.0.0-beta2、Isaac Sim为6.0.1-rc.7。工程未保留原始下载命令和Git remote；Isaac Sim该版本的原始下载地址未记录。</w:t>
      </w:r>
    </w:p>
    <w:p>
      <w:pPr>
        <w:pStyle w:val="Reference"/>
      </w:pPr>
      <w:r/>
      <w:hyperlink r:id="rId18" w:history="1">
        <w:r>
          <w:rPr>
            <w:color w:val="225E78"/>
            <w:u w:val="single"/>
          </w:rPr>
          <w:t>MuJoCo Playground 官方来源</w:t>
        </w:r>
      </w:hyperlink>
      <w:r>
        <w:t xml:space="preserve">  官方上游获取入口</w:t>
      </w:r>
    </w:p>
    <w:p>
      <w:pPr>
        <w:pStyle w:val="Reference"/>
      </w:pPr>
      <w:r/>
      <w:hyperlink r:id="rId19" w:history="1">
        <w:r>
          <w:rPr>
            <w:color w:val="225E78"/>
            <w:u w:val="single"/>
          </w:rPr>
          <w:t>Brax 官方来源</w:t>
        </w:r>
      </w:hyperlink>
      <w:r>
        <w:t xml:space="preserve">  官方上游获取入口</w:t>
      </w:r>
    </w:p>
    <w:p>
      <w:pPr>
        <w:pStyle w:val="Reference"/>
      </w:pPr>
      <w:r/>
      <w:hyperlink r:id="rId20" w:history="1">
        <w:r>
          <w:rPr>
            <w:color w:val="225E78"/>
            <w:u w:val="single"/>
          </w:rPr>
          <w:t>Isaac Lab 官方来源</w:t>
        </w:r>
      </w:hyperlink>
      <w:r>
        <w:t xml:space="preserve">  官方上游获取入口</w:t>
      </w:r>
    </w:p>
    <w:p>
      <w:pPr>
        <w:pStyle w:val="Reference"/>
      </w:pPr>
      <w:r/>
      <w:hyperlink r:id="rId21" w:history="1">
        <w:r>
          <w:rPr>
            <w:color w:val="225E78"/>
            <w:u w:val="single"/>
          </w:rPr>
          <w:t>RSL-RL 官方来源</w:t>
        </w:r>
      </w:hyperlink>
      <w:r>
        <w:t xml:space="preserve">  官方上游获取入口</w:t>
      </w:r>
    </w:p>
    <w:p>
      <w:pPr>
        <w:pStyle w:val="Heading2"/>
      </w:pPr>
      <w:r>
        <w:t>本地模型资产与训练权重</w:t>
      </w:r>
    </w:p>
    <w:p>
      <w:pPr>
        <w:pStyle w:val="Implementation"/>
      </w:pPr>
      <w:r>
        <w:t>H1_2训练资产由本地URDF生成，冻结USD保存在训练工程assets/usd/h1_2_feetonly/。孵育箱依据本地SolidWorks装配文件导出。停车权重由本地V11检查点热启动后训练、筛选得到。两类几何资产未记录网络下载出处。</w:t>
      </w:r>
    </w:p>
    <w:p>
      <w:pPr>
        <w:pStyle w:val="Reference"/>
      </w:pPr>
      <w:r/>
      <w:hyperlink r:id="rId22" w:history="1">
        <w:r>
          <w:rPr>
            <w:color w:val="225E78"/>
            <w:u w:val="single"/>
          </w:rPr>
          <w:t>H1_2原始URDF模型</w:t>
        </w:r>
      </w:hyperlink>
    </w:p>
    <w:p>
      <w:pPr>
        <w:pStyle w:val="Reference"/>
      </w:pPr>
      <w:r/>
      <w:hyperlink r:id="rId23" w:history="1">
        <w:r>
          <w:rPr>
            <w:color w:val="225E78"/>
            <w:u w:val="single"/>
          </w:rPr>
          <w:t>孵育箱原始SolidWorks装配文件</w:t>
        </w:r>
      </w:hyperlink>
    </w:p>
    <w:p>
      <w:pPr>
        <w:pStyle w:val="Reference"/>
      </w:pPr>
      <w:r>
        <w:t>实施依据 [2] [3] [9]</w:t>
      </w:r>
    </w:p>
    <w:p>
      <w:pPr>
        <w:pStyle w:val="Heading2"/>
      </w:pPr>
      <w:r>
        <w:t>训练模型生成与转换</w:t>
      </w:r>
    </w:p>
    <w:p>
      <w:pPr>
        <w:pStyle w:val="Implementation"/>
        <w:keepNext/>
      </w:pPr>
      <w:r>
        <w:t>URDF生成脚本保留原连杆和关节结构，形成脚底碰撞模型；转换程序调用Isaac资产导入器生成USD。原URDF、网格及对应Isaac环境是前提。历史Isaac Lab安装目录及原训练权重当前缺失，恢复时需核对原版本、训练快照与资产。</w:t>
      </w:r>
    </w:p>
    <w:p>
      <w:pPr>
        <w:pStyle w:val="Command"/>
        <w:keepNext/>
      </w:pPr>
      <w:r>
        <w:t>TRAIN=/home/liu/test/h1_2_isaaclab</w:t>
      </w:r>
    </w:p>
    <w:p>
      <w:pPr>
        <w:pStyle w:val="Command"/>
        <w:keepNext/>
      </w:pPr>
      <w:r>
        <w:t>ISAAC=/home/liu/robot/gym_sim/IsaacLab-3.0-beta2</w:t>
      </w:r>
    </w:p>
    <w:p>
      <w:pPr>
        <w:pStyle w:val="Command"/>
        <w:keepNext/>
      </w:pPr>
      <w:r>
        <w:t>python3 "$TRAIN/scripts/build_h12_urdf.py"</w:t>
      </w:r>
    </w:p>
    <w:p>
      <w:pPr>
        <w:pStyle w:val="Command"/>
        <w:keepNext/>
      </w:pPr>
      <w:r>
        <w:t>env -u CONDA_PREFIX -u CONDA_DEFAULT_ENV \</w:t>
      </w:r>
    </w:p>
    <w:p>
      <w:pPr>
        <w:pStyle w:val="Command"/>
        <w:keepNext w:val="0"/>
        <w:spacing w:after="140"/>
      </w:pPr>
      <w:r>
        <w:t xml:space="preserve">  "$ISAAC/isaaclab.sh" -p "$TRAIN/scripts/convert_h12_urdf.py"</w:t>
      </w:r>
    </w:p>
    <w:p>
      <w:pPr>
        <w:pStyle w:val="Reference"/>
      </w:pPr>
      <w:r>
        <w:t>实施依据 [2]</w:t>
      </w:r>
    </w:p>
    <w:p>
      <w:pPr>
        <w:pStyle w:val="Heading1"/>
        <w:pageBreakBefore/>
      </w:pPr>
      <w:r>
        <w:t>视觉定位与双臂约束运动求解</w:t>
      </w:r>
    </w:p>
    <w:p>
      <w:pPr>
        <w:pStyle w:val="Heading2"/>
      </w:pPr>
      <w:r>
        <w:t>数据来源与场景一致性</w:t>
      </w:r>
    </w:p>
    <w:p>
      <w:pPr>
        <w:pStyle w:val="Implementation"/>
      </w:pPr>
      <w:r>
        <w:t>设备操作在Ubuntu 24.04、ROS 2 Jazzy、MoveIt 2和Gazebo Harmonic上实施。Gazebo相机模型D435生成彩色图与深度图，经ROS图像桥进入感知节点，数据均为仿真渲染结果。孵育箱来源为本地SolidWorks装配，导出时保留原装网格、装配姿态、质量与惯量，使Gazebo显示、物理碰撞与MoveIt规划使用同一几何依据。此前便于抓取的圆柱套筒等替代几何已移除，避免规划可行而真实装配干涉。</w:t>
      </w:r>
    </w:p>
    <w:p>
      <w:pPr>
        <w:pStyle w:val="Reference"/>
      </w:pPr>
      <w:r>
        <w:t>实施依据 [9]</w:t>
      </w:r>
    </w:p>
    <w:p>
      <w:pPr>
        <w:pStyle w:val="Heading2"/>
      </w:pPr>
      <w:r>
        <w:t>彩色与深度联合定位</w:t>
      </w:r>
    </w:p>
    <w:p>
      <w:pPr>
        <w:pStyle w:val="Implementation"/>
      </w:pPr>
      <w:r>
        <w:t>早期方块定位采用HSV颜色分割：先提取绿色区域，再用开闭运算去除噪点，从最大有效轮廓计算亚像素质心。由于彩色相机与深度相机的视场不同，程序用两组内参把彩色像素映射到对应深度射线，而不是直接使用相同像素编号；取有效深度邻域的中值后反投影得到三维位置，并补偿可见表面到物体中心的偏移。轮廓对应的深度点还用于估计姿态，姿态可信度不足时拒绝输出。该路线没有依赖目标检测大模型或下载专门视觉权重。</w:t>
      </w:r>
    </w:p>
    <w:p>
      <w:pPr>
        <w:pStyle w:val="Reference"/>
      </w:pPr>
      <w:r>
        <w:t>实施依据 [9] [10]</w:t>
      </w:r>
    </w:p>
    <w:p>
      <w:pPr>
        <w:pStyle w:val="Heading2"/>
      </w:pPr>
      <w:r>
        <w:t>换手流程与承载反馈</w:t>
      </w:r>
    </w:p>
    <w:p>
      <w:pPr>
        <w:pStyle w:val="Implementation"/>
      </w:pPr>
      <w:r>
        <w:t>加长物体的换手问题同时涉及抓点、重心、双臂空间和释放顺序。流程先由右手抓取并抬升50毫米，搬运到中央，再让左手在接近质心的位置重抓。只有左手接触和承载反馈满足条件，右手才逐毫米卸载并退出；随后验证左手独立持物，再垂直放桌、释放并撤离。运行前先完成全流程离线预检，检查可达性、碰撞与撤离路径。支撑插件提供受控的柔顺持物力，但不删除跨模型碰撞，支撑转移也不能替代双指实际接触验证。8月日志记录该完整换手序列在Gazebo完成并正常退出。</w:t>
      </w:r>
    </w:p>
    <w:p>
      <w:pPr>
        <w:pStyle w:val="Reference"/>
      </w:pPr>
      <w:r>
        <w:t>实施依据 [9]</w:t>
      </w:r>
    </w:p>
    <w:p>
      <w:pPr>
        <w:pStyle w:val="Heading2"/>
      </w:pPr>
      <w:r>
        <w:t>把手与门运动的求解</w:t>
      </w:r>
    </w:p>
    <w:p>
      <w:pPr>
        <w:pStyle w:val="Implementation"/>
      </w:pPr>
      <w:r>
        <w:t>把手属于受铰链约束的机构，夹持后必须让夹爪的位置和方向共同沿固定轴圆弧变化，不能只在原地旋转手腕。8月14日方案生成0至90度的91个完整末端位姿，以上一解为参考进行局部KDL逆运动学求解；出现失败或关节跳变时，再使用带关节约束的六维阻尼最小二乘求解。每个候选同时检查接触位置、非指垫净距、自碰、原装设备碰撞和环境点云，路径必须完整通过，再对点间插值进行密集审计。该阶段91个目标全部通过，仿真把手达到89.827度。后续门操作采用601个目标覆盖完整铰链路径，保持正向开门与反向关门的连续性。</w:t>
      </w:r>
    </w:p>
    <w:p>
      <w:pPr>
        <w:pStyle w:val="Reference"/>
      </w:pPr>
      <w:r>
        <w:t>实施依据 [9] [12] [14]</w:t>
      </w:r>
    </w:p>
    <w:p>
      <w:pPr>
        <w:pStyle w:val="Heading1"/>
        <w:pageBreakBefore/>
      </w:pPr>
      <w:r>
        <w:t>视觉双臂操作运行步骤与月底基线</w:t>
      </w:r>
    </w:p>
    <w:p>
      <w:pPr>
        <w:pStyle w:val="Heading2"/>
      </w:pPr>
      <w:r>
        <w:t>环境加载与启动顺序</w:t>
      </w:r>
    </w:p>
    <w:p>
      <w:pPr>
        <w:pStyle w:val="Implementation"/>
        <w:keepNext/>
      </w:pPr>
      <w:r>
        <w:t>每个终端先加载ROS和工作空间；Gazebo、MoveIt与视觉检测分别运行于独立终端，健康进程直接复用。视觉节点读取仿真相机数据。修改程序后按日志采用Miniconda六库临时隔离及自动恢复包装完成构建，以处理已确认的系统库冲突。</w:t>
      </w:r>
    </w:p>
    <w:p>
      <w:pPr>
        <w:pStyle w:val="Command"/>
        <w:keepNext/>
      </w:pPr>
      <w:r>
        <w:t>cd /home/liu/h1_moveit/h1_2_ros2_ws_claude_2026-07-30/h1_2_ros2_ws</w:t>
      </w:r>
    </w:p>
    <w:p>
      <w:pPr>
        <w:pStyle w:val="Command"/>
        <w:keepNext/>
      </w:pPr>
      <w:r>
        <w:t>source /opt/ros/jazzy/setup.bash</w:t>
      </w:r>
    </w:p>
    <w:p>
      <w:pPr>
        <w:pStyle w:val="Command"/>
        <w:keepNext/>
      </w:pPr>
      <w:r>
        <w:t>source install/setup.bash</w:t>
      </w:r>
    </w:p>
    <w:p>
      <w:pPr>
        <w:pStyle w:val="Command"/>
        <w:keepNext/>
      </w:pPr>
      <w:r/>
    </w:p>
    <w:p>
      <w:pPr>
        <w:pStyle w:val="Command"/>
        <w:keepNext/>
      </w:pPr>
      <w:r>
        <w:t>ros2 launch h1_2_moveit_config gazebo.launch.py \</w:t>
      </w:r>
    </w:p>
    <w:p>
      <w:pPr>
        <w:pStyle w:val="Command"/>
        <w:keepNext/>
      </w:pPr>
      <w:r>
        <w:t xml:space="preserve">  spawn_incubator:=true incubator_x:=0.590</w:t>
      </w:r>
    </w:p>
    <w:p>
      <w:pPr>
        <w:pStyle w:val="Command"/>
        <w:keepNext/>
      </w:pPr>
      <w:r>
        <w:t>ros2 launch h1_2_moveit_config move_group_only.launch.py</w:t>
      </w:r>
    </w:p>
    <w:p>
      <w:pPr>
        <w:pStyle w:val="Command"/>
        <w:keepNext w:val="0"/>
        <w:spacing w:after="140"/>
      </w:pPr>
      <w:r>
        <w:t>ros2 run h1_2_vision cube_detector --ros-args -p use_mock_data:=false</w:t>
      </w:r>
    </w:p>
    <w:p>
      <w:pPr>
        <w:pStyle w:val="Reference"/>
      </w:pPr>
      <w:r>
        <w:t>实施依据 [9]</w:t>
      </w:r>
    </w:p>
    <w:p>
      <w:pPr>
        <w:pStyle w:val="Heading2"/>
      </w:pPr>
      <w:r>
        <w:t>场景同步与换手执行</w:t>
      </w:r>
    </w:p>
    <w:p>
      <w:pPr>
        <w:pStyle w:val="Implementation"/>
        <w:keepNext/>
      </w:pPr>
      <w:r>
        <w:t>场景同步入口核验原装网格，不做IK、规划或下发运动。换手执行前，须按资料[9]第147至161行完整参数运行center_regrasp_preflight_only预检，确认LONG_BLOCK_CENTER_PREFLIGHT_PASS和no trajectory executed。通过预检后，使用固定参数的换手脚本完成动作。</w:t>
      </w:r>
    </w:p>
    <w:p>
      <w:pPr>
        <w:pStyle w:val="Command"/>
        <w:keepNext/>
      </w:pPr>
      <w:r>
        <w:t>ros2 run h1_2_moveit_demo incubator_door_open_demo --ros-args \</w:t>
      </w:r>
    </w:p>
    <w:p>
      <w:pPr>
        <w:pStyle w:val="Command"/>
        <w:keepNext/>
      </w:pPr>
      <w:r>
        <w:t xml:space="preserve">  -p use_sim_time:=true -p preflight_only:=true -p scene_sync_only:=true</w:t>
      </w:r>
    </w:p>
    <w:p>
      <w:pPr>
        <w:pStyle w:val="Command"/>
        <w:keepNext/>
      </w:pPr>
      <w:r/>
    </w:p>
    <w:p>
      <w:pPr>
        <w:pStyle w:val="Command"/>
        <w:keepNext/>
      </w:pPr>
      <w:r>
        <w:t>HANDOVER_MODE=donor_release_test \</w:t>
      </w:r>
    </w:p>
    <w:p>
      <w:pPr>
        <w:pStyle w:val="Command"/>
        <w:keepNext w:val="0"/>
        <w:spacing w:after="140"/>
      </w:pPr>
      <w:r>
        <w:t>ros2 run h1_2_moveit_demo bimanual_air_handover.sh</w:t>
      </w:r>
    </w:p>
    <w:p>
      <w:pPr>
        <w:pStyle w:val="Reference"/>
      </w:pPr>
      <w:r>
        <w:t>实施依据 [9]</w:t>
      </w:r>
    </w:p>
    <w:p>
      <w:pPr>
        <w:pStyle w:val="Heading2"/>
      </w:pPr>
      <w:r>
        <w:t>版本演进与月底结果</w:t>
      </w:r>
    </w:p>
    <w:p>
      <w:pPr>
        <w:pStyle w:val="Implementation"/>
      </w:pPr>
      <w:r>
        <w:t>8月31日接受的慢速认证基线采用右手单独操作把手、左手负责方块，左手与把手零接触，认证净距至少50毫米，躯干最大偏转44.25度；完整录像、rosbag、精确FCL回放、段间衔接、终态及锁止状态均通过。该基线固定了几何一致性和执行可追溯性，尚未完成90秒优化，与早期左手把手试验及8月27日执行版本分别留档。</w:t>
      </w:r>
    </w:p>
    <w:p>
      <w:pPr>
        <w:pStyle w:val="Reference"/>
      </w:pPr>
      <w:r>
        <w:t>实施依据 [15]</w:t>
      </w:r>
    </w:p>
    <w:p>
      <w:pPr>
        <w:pStyle w:val="Heading1"/>
        <w:pageBreakBefore/>
      </w:pPr>
      <w:r>
        <w:t>视觉标签定位与遮挡恢复机制</w:t>
      </w:r>
    </w:p>
    <w:p>
      <w:pPr>
        <w:pStyle w:val="Heading2"/>
      </w:pPr>
      <w:r>
        <w:t>视觉标签到物体位姿</w:t>
      </w:r>
    </w:p>
    <w:p>
      <w:pPr>
        <w:pStyle w:val="Implementation"/>
      </w:pPr>
      <w:r>
        <w:t>8月26日至27日增加AprilTag定位，标签分别绑定机柜、门和方块的已知安装关系。节点同步接收彩色图、深度图及各自内参，检测36h11标签角点后，利用已知边长和IPPE方形位姿算法求出标签相对相机的位置与方向。再按图像时间戳读取TF，将位姿转换到世界坐标，并通过安装关系还原物体坐标。重投影误差、深度残差或有效采样数量不合格的观测被拒绝；同一物体的多标签通过加权融合形成估计，连续多帧稳定后才发布可用于规划的状态。</w:t>
      </w:r>
    </w:p>
    <w:p>
      <w:pPr>
        <w:pStyle w:val="Reference"/>
      </w:pPr>
      <w:r>
        <w:t>实施依据 [9] [11]</w:t>
      </w:r>
    </w:p>
    <w:p>
      <w:pPr>
        <w:pStyle w:val="Heading2"/>
      </w:pPr>
      <w:r>
        <w:t>冻结场景与完整路径重算</w:t>
      </w:r>
    </w:p>
    <w:p>
      <w:pPr>
        <w:pStyle w:val="Implementation"/>
      </w:pPr>
      <w:r>
        <w:t>动态场景节点把同一时刻附近的物体位姿、机器人关节、机构角度、点云及支撑状态绑定成不可变快照，避免规划过程混用新旧数据。重规划器以设备与方块的相对位姿修正原有末端路径，并重新求解关节轨迹；若目标未变化且原关节解仍连续，则保留原解，避免冗余关节无必要换支。路径再按连续性和时间约束细化，经C++碰撞与10毫米环境净距审计后生成计划和证书（即规划校验记录文件）。规划节点只发布计划元数据，独立执行监督器核验场景、计划和证书绑定关系后，才向控制器发送轨迹。</w:t>
      </w:r>
    </w:p>
    <w:p>
      <w:pPr>
        <w:pStyle w:val="Reference"/>
      </w:pPr>
      <w:r>
        <w:t>实施依据 [9] [12]</w:t>
      </w:r>
    </w:p>
    <w:p>
      <w:pPr>
        <w:pStyle w:val="Heading2"/>
      </w:pPr>
      <w:r>
        <w:t>遮挡触发后的恢复逻辑</w:t>
      </w:r>
    </w:p>
    <w:p>
      <w:pPr>
        <w:pStyle w:val="Implementation"/>
      </w:pPr>
      <w:r>
        <w:t>执行期间持续检查标签、关节反馈和支撑心跳。机柜标签过期时，监督器立即根据实测关节位置发送保持动作，确认保持有效后等待标签重新稳定，而不是沿旧轨迹继续运动。恢复时先找剩余路径中最接近当前姿态的认证点：若满足原有接续起点的误差限值，直接恢复原后缀；若存在小偏差，则按需生成从实测姿态到后缀的连接段，并把连接段及全部剩余点重新交给C++审计。偏差超限、标签未及时恢复、场景或证书失效时保持停止，不放宽门限。该机制修复执行中断后的衔接条件，并不意味着任意遮挡或任意物体位移均能恢复。</w:t>
      </w:r>
    </w:p>
    <w:p>
      <w:pPr>
        <w:pStyle w:val="Reference"/>
      </w:pPr>
      <w:r>
        <w:t>实施依据 [13] [14]</w:t>
      </w:r>
    </w:p>
    <w:p>
      <w:pPr>
        <w:pStyle w:val="Heading1"/>
        <w:pageBreakBefore/>
      </w:pPr>
      <w:r>
        <w:t>重规划接口与仿真执行验证</w:t>
      </w:r>
    </w:p>
    <w:p>
      <w:pPr>
        <w:pStyle w:val="Heading2"/>
      </w:pPr>
      <w:r>
        <w:t>感知与规划入口</w:t>
      </w:r>
    </w:p>
    <w:p>
      <w:pPr>
        <w:pStyle w:val="Implementation"/>
        <w:keepNext/>
      </w:pPr>
      <w:r>
        <w:t>tag_localizer接收同步图像和内参，输出经过质量检查的标签及物体状态。若启动文件已启用该节点，应复用现有实例。规划worker由重规划器调用，生成计划和证书。以下命令结构来自源码，尖括号为待绑定的本次快照、资产及输出路径。</w:t>
      </w:r>
    </w:p>
    <w:p>
      <w:pPr>
        <w:pStyle w:val="Command"/>
        <w:keepNext/>
      </w:pPr>
      <w:r>
        <w:t>ros2 run h1_2_vision tag_localizer --ros-args -p use_sim_time:=true</w:t>
      </w:r>
    </w:p>
    <w:p>
      <w:pPr>
        <w:pStyle w:val="Command"/>
        <w:keepNext/>
      </w:pPr>
      <w:r/>
    </w:p>
    <w:p>
      <w:pPr>
        <w:pStyle w:val="Command"/>
        <w:keepNext/>
      </w:pPr>
      <w:r>
        <w:t>/usr/bin/python3 -m h1_2_vision.candidate3_worker \</w:t>
      </w:r>
    </w:p>
    <w:p>
      <w:pPr>
        <w:pStyle w:val="Command"/>
        <w:keepNext/>
      </w:pPr>
      <w:r>
        <w:t xml:space="preserve">  --epoch &lt;本次epoch.cdr&gt; --scene &lt;同一快照scene.cdr&gt; \</w:t>
      </w:r>
    </w:p>
    <w:p>
      <w:pPr>
        <w:pStyle w:val="Command"/>
        <w:keepNext/>
      </w:pPr>
      <w:r>
        <w:t xml:space="preserve">  --asset-root &lt;匹配的认证路径资产目录&gt; \</w:t>
      </w:r>
    </w:p>
    <w:p>
      <w:pPr>
        <w:pStyle w:val="Command"/>
        <w:keepNext/>
      </w:pPr>
      <w:r>
        <w:t xml:space="preserve">  --clearance-auditor &lt;构建后的candidate3_clearance_auditor&gt; \</w:t>
      </w:r>
    </w:p>
    <w:p>
      <w:pPr>
        <w:pStyle w:val="Command"/>
        <w:keepNext w:val="0"/>
        <w:spacing w:after="140"/>
      </w:pPr>
      <w:r>
        <w:t xml:space="preserve">  --clearance-timeout-s 290 --output &lt;新输出目录/result.json&gt;</w:t>
      </w:r>
    </w:p>
    <w:p>
      <w:pPr>
        <w:pStyle w:val="Reference"/>
      </w:pPr>
      <w:r>
        <w:t>实施依据 [11] [12]</w:t>
      </w:r>
    </w:p>
    <w:p>
      <w:pPr>
        <w:pStyle w:val="Heading2"/>
      </w:pPr>
      <w:r>
        <w:t>执行监督与恢复输入</w:t>
      </w:r>
    </w:p>
    <w:p>
      <w:pPr>
        <w:pStyle w:val="Implementation"/>
      </w:pPr>
      <w:r>
        <w:t>执行入口为ros2 run h1_2_vision candidate3_execution_supervisor，默认execute=false、execution_mode=disabled。实际执行需要绑定当前工作空间、计划与证据目录；恢复时还要检查阶段索引、实测关节和现场支撑状态。历史结果保留了执行记录，但未保留完整外层shell命令。新场景须重新生成相符的计划与证书。</w:t>
      </w:r>
    </w:p>
    <w:p>
      <w:pPr>
        <w:pStyle w:val="Reference"/>
      </w:pPr>
      <w:r>
        <w:t>实施依据 [13]</w:t>
      </w:r>
    </w:p>
    <w:p>
      <w:pPr>
        <w:pStyle w:val="Heading2"/>
      </w:pPr>
      <w:r>
        <w:t>运行结果与工程价值</w:t>
      </w:r>
    </w:p>
    <w:p>
      <w:pPr>
        <w:pStyle w:val="Implementation"/>
      </w:pPr>
      <w:r>
        <w:t>8月27日在同一个新建Gazebo场景完成完整操作序列，期间因支撑辅助程序和夹爪入口检查触发停止，最终由四段连续监督结果共同覆盖。所选完整路径有18次标签遮挡保持，其中14次按原后缀恢复、4次通过C++连接段恢复；全过程23条轨迹、8713个执行点与认证计划相符，动作本体87.809秒，录像墙钟时间包含感知等待、审计和恢复过程。终态验证锁止完成、支撑解除及方块短期静止；长期稳定性仍需单独验收。执行结果与新鲜观测、计划证书和审计记录逐项绑定，并保留失败及恢复证据。</w:t>
      </w:r>
    </w:p>
    <w:p>
      <w:pPr>
        <w:pStyle w:val="Reference"/>
      </w:pPr>
      <w:r>
        <w:t>实施依据 [14]</w:t>
      </w:r>
    </w:p>
    <w:p>
      <w:pPr>
        <w:pStyle w:val="Heading1"/>
        <w:pageBreakBefore/>
      </w:pPr>
      <w:r>
        <w:t>技术实施资料索引</w:t>
      </w:r>
    </w:p>
    <w:p>
      <w:pPr>
        <w:pStyle w:val="Implementation"/>
      </w:pPr>
      <w:r>
        <w:t>以下链接直接指向本机保留的原始日志与程序，资料编号对应各专题的实施依据。资料中标明了训练与设备操作各自的环境、运行条件及验收范围。</w:t>
      </w:r>
    </w:p>
    <w:p>
      <w:pPr>
        <w:pStyle w:val="Reference"/>
      </w:pPr>
      <w:r/>
      <w:hyperlink r:id="rId24" w:history="1">
        <w:r>
          <w:rPr>
            <w:color w:val="225E78"/>
            <w:u w:val="single"/>
          </w:rPr>
          <w:t>[1] 8月7日步态训练复核记录</w:t>
        </w:r>
      </w:hyperlink>
      <w:r>
        <w:t xml:space="preserve">  第3至61行  模型复核与批量评估口径</w:t>
      </w:r>
    </w:p>
    <w:p>
      <w:pPr>
        <w:pStyle w:val="Reference"/>
      </w:pPr>
      <w:r/>
      <w:hyperlink r:id="rId25" w:history="1">
        <w:r>
          <w:rPr>
            <w:color w:val="225E78"/>
            <w:u w:val="single"/>
          </w:rPr>
          <w:t>[2] Isaac Lab环境与运行说明</w:t>
        </w:r>
      </w:hyperlink>
      <w:r>
        <w:t xml:space="preserve">  第3至114行  环境 资产与运行入口</w:t>
      </w:r>
    </w:p>
    <w:p>
      <w:pPr>
        <w:pStyle w:val="Reference"/>
      </w:pPr>
      <w:r/>
      <w:hyperlink r:id="rId26" w:history="1">
        <w:r>
          <w:rPr>
            <w:color w:val="225E78"/>
            <w:u w:val="single"/>
          </w:rPr>
          <w:t>[3] 8月11日训练及验收交接记录</w:t>
        </w:r>
      </w:hyperlink>
      <w:r>
        <w:t xml:space="preserve">  第126至219行  正式训练 模型选择与结果</w:t>
      </w:r>
    </w:p>
    <w:p>
      <w:pPr>
        <w:pStyle w:val="Reference"/>
      </w:pPr>
      <w:r/>
      <w:hyperlink r:id="rId27" w:history="1">
        <w:r>
          <w:rPr>
            <w:color w:val="225E78"/>
            <w:u w:val="single"/>
          </w:rPr>
          <w:t>[4] 16小时停车策略训练启动脚本</w:t>
        </w:r>
      </w:hyperlink>
      <w:r>
        <w:t xml:space="preserve">  第4至106行  配置拼接 断点检查与完成状态</w:t>
      </w:r>
    </w:p>
    <w:p>
      <w:pPr>
        <w:pStyle w:val="Reference"/>
      </w:pPr>
      <w:r/>
      <w:hyperlink r:id="rId28" w:history="1">
        <w:r>
          <w:rPr>
            <w:color w:val="225E78"/>
            <w:u w:val="single"/>
          </w:rPr>
          <w:t>[5] 256次低速平地严格评估原始日志</w:t>
        </w:r>
      </w:hyperlink>
      <w:r>
        <w:t xml:space="preserve">  第248至313行  试验条件与249次成功结果</w:t>
      </w:r>
    </w:p>
    <w:p>
      <w:pPr>
        <w:pStyle w:val="Reference"/>
      </w:pPr>
      <w:r/>
      <w:hyperlink r:id="rId29" w:history="1">
        <w:r>
          <w:rPr>
            <w:color w:val="225E78"/>
            <w:u w:val="single"/>
          </w:rPr>
          <w:t>[6] 停车状态捕获与恢复实现</w:t>
        </w:r>
      </w:hyperlink>
      <w:r>
        <w:t xml:space="preserve">  第81至240行  稳定捕获 迟滞恢复与动作限制</w:t>
      </w:r>
    </w:p>
    <w:p>
      <w:pPr>
        <w:pStyle w:val="Reference"/>
      </w:pPr>
      <w:r/>
      <w:hyperlink r:id="rId30" w:history="1">
        <w:r>
          <w:rPr>
            <w:color w:val="225E78"/>
            <w:u w:val="single"/>
          </w:rPr>
          <w:t>[7] 冻结移动策略与停止分支实现</w:t>
        </w:r>
      </w:hyperlink>
      <w:r>
        <w:t xml:space="preserve">  第21至29及98至134行  观测切片与策略分支</w:t>
      </w:r>
    </w:p>
    <w:p>
      <w:pPr>
        <w:pStyle w:val="Reference"/>
      </w:pPr>
      <w:r/>
      <w:hyperlink r:id="rId31" w:history="1">
        <w:r>
          <w:rPr>
            <w:color w:val="225E78"/>
            <w:u w:val="single"/>
          </w:rPr>
          <w:t>[8] 独立批量评估程序</w:t>
        </w:r>
      </w:hyperlink>
      <w:r>
        <w:t xml:space="preserve">  第59至180及707至889行  参数与独立验收</w:t>
      </w:r>
    </w:p>
    <w:p>
      <w:pPr>
        <w:pStyle w:val="Reference"/>
      </w:pPr>
      <w:r/>
      <w:hyperlink r:id="rId32" w:history="1">
        <w:r>
          <w:rPr>
            <w:color w:val="225E78"/>
            <w:u w:val="single"/>
          </w:rPr>
          <w:t>[9] 8月视觉双臂研发日志</w:t>
        </w:r>
      </w:hyperlink>
      <w:r>
        <w:t xml:space="preserve">  第37至396及3198至3406行  8月环境 命令和结果</w:t>
      </w:r>
    </w:p>
    <w:p>
      <w:pPr>
        <w:pStyle w:val="Reference"/>
      </w:pPr>
      <w:r/>
      <w:hyperlink r:id="rId33" w:history="1">
        <w:r>
          <w:rPr>
            <w:color w:val="225E78"/>
            <w:u w:val="single"/>
          </w:rPr>
          <w:t>[10] 彩色与深度联合定位程序</w:t>
        </w:r>
      </w:hyperlink>
      <w:r>
        <w:t xml:space="preserve">  第182至241及325至455行  深度映射与位姿输出</w:t>
      </w:r>
    </w:p>
    <w:p>
      <w:pPr>
        <w:pStyle w:val="Reference"/>
      </w:pPr>
      <w:r/>
      <w:hyperlink r:id="rId34" w:history="1">
        <w:r>
          <w:rPr>
            <w:color w:val="225E78"/>
            <w:u w:val="single"/>
          </w:rPr>
          <w:t>[11] 视觉标签定位与质量检查程序</w:t>
        </w:r>
      </w:hyperlink>
      <w:r>
        <w:t xml:space="preserve">  第65至108及229至330行  图像同步与标签质量判定条件</w:t>
      </w:r>
    </w:p>
    <w:p>
      <w:pPr>
        <w:pStyle w:val="Reference"/>
      </w:pPr>
      <w:r/>
      <w:hyperlink r:id="rId35" w:history="1">
        <w:r>
          <w:rPr>
            <w:color w:val="225E78"/>
            <w:u w:val="single"/>
          </w:rPr>
          <w:t>[12] 相对路径求解与完整审计程序</w:t>
        </w:r>
      </w:hyperlink>
      <w:r>
        <w:t xml:space="preserve">  第231至395及787至1043行  路径重求解与审计</w:t>
      </w:r>
    </w:p>
    <w:p>
      <w:pPr>
        <w:pStyle w:val="Reference"/>
      </w:pPr>
      <w:r/>
      <w:hyperlink r:id="rId36" w:history="1">
        <w:r>
          <w:rPr>
            <w:color w:val="225E78"/>
            <w:u w:val="single"/>
          </w:rPr>
          <w:t>[13] 执行监督与遮挡恢复程序</w:t>
        </w:r>
      </w:hyperlink>
      <w:r>
        <w:t xml:space="preserve">  第90至126及1294至1610行  入口条件与遮挡恢复</w:t>
      </w:r>
    </w:p>
    <w:p>
      <w:pPr>
        <w:pStyle w:val="Reference"/>
      </w:pPr>
      <w:r/>
      <w:hyperlink r:id="rId37" w:history="1">
        <w:r>
          <w:rPr>
            <w:color w:val="225E78"/>
            <w:u w:val="single"/>
          </w:rPr>
          <w:t>[14] 8月27日Gazebo执行验收报告</w:t>
        </w:r>
      </w:hyperlink>
      <w:r>
        <w:t xml:space="preserve">  第3至118行  同场景分段执行与恢复结果</w:t>
      </w:r>
    </w:p>
    <w:p>
      <w:pPr>
        <w:pStyle w:val="Reference"/>
      </w:pPr>
      <w:r/>
      <w:hyperlink r:id="rId38" w:history="1">
        <w:r>
          <w:rPr>
            <w:color w:val="225E78"/>
            <w:u w:val="single"/>
          </w:rPr>
          <w:t>[15] 8月31日慢速认证基线发布说明</w:t>
        </w:r>
      </w:hyperlink>
      <w:r>
        <w:t xml:space="preserve">  第3至45行  月底接受范围和慢速限定</w:t>
      </w:r>
    </w:p>
    <w:sectPr w:rsidR="00FC693F" w:rsidRPr="0006063C" w:rsidSect="00034616">
      <w:footerReference w:type="default" r:id="rId9"/>
      <w:pgSz w:w="12240" w:h="15840"/>
      <w:pgMar w:top="1008" w:right="1181" w:bottom="936" w:left="1181" w:header="720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exact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20"/>
      <w:snapToGrid w:val="0"/>
    </w:pPr>
    <w:rPr>
      <w:rFonts w:ascii="Noto Serif CJK SC" w:hAnsi="Noto Serif CJK SC" w:eastAsia="Noto Serif CJK SC" w:cs="Noto Serif CJK SC"/>
      <w:b w:val="0"/>
      <w:i w:val="0"/>
      <w:color w:val="000000"/>
      <w:sz w:val="23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400" w:lineRule="exact"/>
      <w:outlineLvl w:val="0"/>
      <w:snapToGrid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000000"/>
      <w:sz w:val="26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400" w:lineRule="exact"/>
      <w:outlineLvl w:val="1"/>
      <w:snapToGrid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000000"/>
      <w:sz w:val="23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560" w:lineRule="exact"/>
      <w:contextualSpacing/>
      <w:snapToGrid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i w:val="0"/>
      <w:color w:val="000000"/>
      <w:spacing w:val="5"/>
      <w:kern w:val="28"/>
      <w:sz w:val="40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40" w:lineRule="exact" w:after="100"/>
      <w:snapToGrid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 w:val="0"/>
      <w:i w:val="0"/>
      <w:iCs/>
      <w:color w:val="000000"/>
      <w:spacing w:val="15"/>
      <w:sz w:val="22"/>
      <w:szCs w:val="24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 w:after="100"/>
      <w:snapToGrid w:val="0"/>
    </w:pPr>
    <w:rPr>
      <w:rFonts w:ascii="Noto Sans CJK SC" w:hAnsi="Noto Sans CJK SC" w:eastAsia="Noto Sans CJK SC" w:cs="Noto Sans CJK SC"/>
      <w:b w:val="0"/>
      <w:bCs/>
      <w:i w:val="0"/>
      <w:color w:val="000000"/>
      <w:sz w:val="19"/>
      <w:szCs w:val="18"/>
      <w:lang w:val="zh-CN"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300" w:lineRule="exact" w:after="0"/>
      <w:ind w:left="216"/>
      <w:snapToGrid w:val="0"/>
    </w:pPr>
    <w:rPr>
      <w:rFonts w:ascii="DejaVu Sans Mono" w:hAnsi="DejaVu Sans Mono" w:eastAsia="Noto Sans CJK SC" w:cs="DejaVu Sans Mono"/>
      <w:b w:val="0"/>
      <w:i w:val="0"/>
      <w:color w:val="000000"/>
      <w:sz w:val="20"/>
      <w:lang w:val="zh-CN" w:eastAsia="zh-CN"/>
    </w:rPr>
  </w:style>
  <w:style w:type="paragraph" w:customStyle="1" w:styleId="SourceNote">
    <w:name w:val="Source Note"/>
    <w:pPr>
      <w:spacing w:line="260" w:lineRule="exact" w:before="60" w:after="0"/>
      <w:snapToGrid w:val="0"/>
    </w:pPr>
    <w:rPr>
      <w:rFonts w:ascii="Noto Sans CJK SC" w:hAnsi="Noto Sans CJK SC" w:eastAsia="Noto Sans CJK SC" w:cs="Noto Sans CJK SC"/>
      <w:b w:val="0"/>
      <w:i w:val="0"/>
      <w:color w:val="000000"/>
      <w:sz w:val="18"/>
      <w:lang w:val="zh-CN" w:eastAsia="zh-CN"/>
    </w:rPr>
  </w:style>
  <w:style w:type="paragraph" w:customStyle="1" w:styleId="Implementation">
    <w:name w:val="Implementation"/>
    <w:pPr>
      <w:keepNext w:val="0"/>
      <w:widowControl/>
      <w:spacing w:line="340" w:lineRule="exact" w:after="100"/>
    </w:pPr>
    <w:rPr>
      <w:rFonts w:ascii="Noto Serif CJK SC" w:hAnsi="Noto Serif CJK SC" w:eastAsia="Noto Serif CJK SC" w:cs="Noto Serif CJK SC"/>
      <w:b w:val="0"/>
      <w:i w:val="0"/>
      <w:color w:val="000000"/>
      <w:sz w:val="22"/>
      <w:lang w:val="zh-CN" w:eastAsia="zh-CN"/>
      <w:lang w:val="zh-CN" w:eastAsia="zh-CN"/>
    </w:rPr>
  </w:style>
  <w:style w:type="paragraph" w:customStyle="1" w:styleId="Command">
    <w:name w:val="Command"/>
    <w:pPr>
      <w:keepNext w:val="0"/>
      <w:widowControl/>
      <w:spacing w:line="260" w:lineRule="exact" w:after="0" w:before="0"/>
      <w:ind w:left="173"/>
    </w:pPr>
    <w:rPr>
      <w:rFonts w:ascii="DejaVu Sans Mono" w:hAnsi="DejaVu Sans Mono" w:eastAsia="Noto Sans CJK SC" w:cs="DejaVu Sans Mono"/>
      <w:b w:val="0"/>
      <w:i w:val="0"/>
      <w:color w:val="000000"/>
      <w:sz w:val="18"/>
      <w:lang w:val="zh-CN" w:eastAsia="zh-CN"/>
      <w:lang w:val="zh-CN" w:eastAsia="zh-CN"/>
    </w:rPr>
  </w:style>
  <w:style w:type="paragraph" w:customStyle="1" w:styleId="Reference">
    <w:name w:val="Reference"/>
    <w:pPr>
      <w:keepNext w:val="0"/>
      <w:widowControl/>
      <w:spacing w:line="260" w:lineRule="exact" w:after="80"/>
    </w:pPr>
    <w:rPr>
      <w:rFonts w:ascii="Noto Serif CJK SC" w:hAnsi="Noto Serif CJK SC" w:eastAsia="Noto Serif CJK SC" w:cs="Noto Serif CJK SC"/>
      <w:b w:val="0"/>
      <w:i w:val="0"/>
      <w:color w:val="000000"/>
      <w:sz w:val="18"/>
      <w:lang w:val="zh-CN" w:eastAsia="zh-CN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8" Type="http://schemas.openxmlformats.org/officeDocument/2006/relationships/hyperlink" Target="https://github.com/google-deepmind/mujoco_playground" TargetMode="External"/><Relationship Id="rId19" Type="http://schemas.openxmlformats.org/officeDocument/2006/relationships/hyperlink" Target="https://github.com/google/brax" TargetMode="External"/><Relationship Id="rId20" Type="http://schemas.openxmlformats.org/officeDocument/2006/relationships/hyperlink" Target="https://github.com/isaac-sim/IsaacLab/releases/tag/v3.0.0-beta2" TargetMode="External"/><Relationship Id="rId21" Type="http://schemas.openxmlformats.org/officeDocument/2006/relationships/hyperlink" Target="https://github.com/leggedrobotics/rsl_rl" TargetMode="External"/><Relationship Id="rId22" Type="http://schemas.openxmlformats.org/officeDocument/2006/relationships/hyperlink" Target="report_sources/source_32/view.html" TargetMode="External"/><Relationship Id="rId23" Type="http://schemas.openxmlformats.org/officeDocument/2006/relationships/hyperlink" Target="report_sources/source_31/view.html" TargetMode="External"/><Relationship Id="rId24" Type="http://schemas.openxmlformats.org/officeDocument/2006/relationships/hyperlink" Target="report_sources/source_40/view.html" TargetMode="External"/><Relationship Id="rId25" Type="http://schemas.openxmlformats.org/officeDocument/2006/relationships/hyperlink" Target="report_sources/source_34/view.html" TargetMode="External"/><Relationship Id="rId26" Type="http://schemas.openxmlformats.org/officeDocument/2006/relationships/hyperlink" Target="report_sources/source_33/view.html" TargetMode="External"/><Relationship Id="rId27" Type="http://schemas.openxmlformats.org/officeDocument/2006/relationships/hyperlink" Target="report_sources/source_37/view.html" TargetMode="External"/><Relationship Id="rId28" Type="http://schemas.openxmlformats.org/officeDocument/2006/relationships/hyperlink" Target="report_sources/source_35/view.html" TargetMode="External"/><Relationship Id="rId29" Type="http://schemas.openxmlformats.org/officeDocument/2006/relationships/hyperlink" Target="report_sources/source_39/view.html" TargetMode="External"/><Relationship Id="rId30" Type="http://schemas.openxmlformats.org/officeDocument/2006/relationships/hyperlink" Target="report_sources/source_38/view.html" TargetMode="External"/><Relationship Id="rId31" Type="http://schemas.openxmlformats.org/officeDocument/2006/relationships/hyperlink" Target="report_sources/source_36/view.html" TargetMode="External"/><Relationship Id="rId32" Type="http://schemas.openxmlformats.org/officeDocument/2006/relationships/hyperlink" Target="report_sources/source_29/view.html" TargetMode="External"/><Relationship Id="rId33" Type="http://schemas.openxmlformats.org/officeDocument/2006/relationships/hyperlink" Target="report_sources/source_27/view.html" TargetMode="External"/><Relationship Id="rId34" Type="http://schemas.openxmlformats.org/officeDocument/2006/relationships/hyperlink" Target="report_sources/source_28/view.html" TargetMode="External"/><Relationship Id="rId35" Type="http://schemas.openxmlformats.org/officeDocument/2006/relationships/hyperlink" Target="report_sources/source_26/view.html" TargetMode="External"/><Relationship Id="rId36" Type="http://schemas.openxmlformats.org/officeDocument/2006/relationships/hyperlink" Target="report_sources/source_25/view.html" TargetMode="External"/><Relationship Id="rId37" Type="http://schemas.openxmlformats.org/officeDocument/2006/relationships/hyperlink" Target="report_sources/source_02/view.html" TargetMode="External"/><Relationship Id="rId38" Type="http://schemas.openxmlformats.org/officeDocument/2006/relationships/hyperlink" Target="report_sources/source_30/view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2026年8月工作报告</dc:title>
  <dc:subject>步态训练 视觉接入与双臂设备操作</dc:subject>
  <dc:creator/>
  <cp:keywords>机器人 月度工作报告 技术难点 工作成果 技术实施 软件来源 运行记录 算法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