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2026年10月工作报告</w:t>
      </w:r>
    </w:p>
    <w:p>
      <w:pPr>
        <w:pStyle w:val="Subtitle"/>
        <w:jc w:val="center"/>
      </w:pPr>
      <w:r>
        <w:t>离心机全流程作业与动作优化</w:t>
      </w:r>
    </w:p>
    <w:p>
      <w:pPr>
        <w:pStyle w:val="Subtitle"/>
        <w:jc w:val="center"/>
      </w:pPr>
      <w:r>
        <w:t>统计截至2026年10月16日</w:t>
      </w:r>
    </w:p>
    <w:p>
      <w:pPr>
        <w:pStyle w:val="Heading1"/>
      </w:pPr>
      <w:r>
        <w:t>一 工作概况</w:t>
      </w:r>
    </w:p>
    <w:p>
      <w:r>
        <w:t>本月完成双料盒装篮、离心加工和取回返桌的连续仿真作业，重点改进双臂协同、执行效率及抓取姿态，形成完整运行记录和前方视角演示。</w:t>
      </w:r>
    </w:p>
    <w:p>
      <w:pPr>
        <w:pStyle w:val="Heading1"/>
      </w:pPr>
      <w:r>
        <w:t>二 重点工作进展</w:t>
      </w:r>
    </w:p>
    <w:p>
      <w:r>
        <w:rPr>
          <w:b/>
        </w:rPr>
        <w:t xml:space="preserve">10月7日至10日  </w:t>
      </w:r>
      <w:r>
        <w:t>解决双盒夹持、自然落篮及取回时带动设备的问题，改进制动、取盒方向和放置动作，首次完成加工与取回流程。</w:t>
      </w:r>
    </w:p>
    <w:p>
      <w:r>
        <w:rPr>
          <w:b/>
        </w:rPr>
        <w:t xml:space="preserve">10月12日至14日  </w:t>
      </w:r>
      <w:r>
        <w:t>建立独立仿真入口，优化协同、路径和等待时序，修复录像收尾及反馈读取问题，完成历史日志无损归档。</w:t>
      </w:r>
    </w:p>
    <w:p>
      <w:r>
        <w:rPr>
          <w:b/>
        </w:rPr>
        <w:t xml:space="preserve">10月15日  </w:t>
      </w:r>
      <w:r>
        <w:t>完成速度基线验收，进一步比较抓取与搬运路径，减少肩腕转动，并完成前方视角录像。</w:t>
      </w:r>
    </w:p>
    <w:p>
      <w:r>
        <w:rPr>
          <w:b/>
        </w:rPr>
        <w:t xml:space="preserve">10月16日  </w:t>
      </w:r>
      <w:r>
        <w:t>适配装盒与取盒的抬肘姿态，调整超限阶段速度，完成全流程仿真、独立复核和录像交付。</w:t>
      </w:r>
    </w:p>
    <w:p>
      <w:pPr>
        <w:pStyle w:val="Heading1"/>
      </w:pPr>
      <w:r>
        <w:t>三 主要成果</w:t>
      </w:r>
    </w:p>
    <w:p>
      <w:r>
        <w:t>完成双盒抓取、自然落篮、按键加工及返桌释放的连续仿真作业，物料取放与设备状态在同一次运行中通过核验。</w:t>
      </w:r>
    </w:p>
    <w:p>
      <w:r>
        <w:t>通过调整双臂协同、运动路径和等待时序，速度方案的仿真用时由早期约八分半降至三分钟以内。</w:t>
      </w:r>
    </w:p>
    <w:p>
      <w:r>
        <w:t>装盒抓取阶段肩腕累计转动减少约三分之一，完成抬肘装盒与取回的全流程验证，并通过物理检查和独立复核。</w:t>
      </w:r>
    </w:p>
    <w:p>
      <w:pPr>
        <w:pStyle w:val="Heading1"/>
      </w:pPr>
      <w:r>
        <w:t>四 后续工作</w:t>
      </w:r>
    </w:p>
    <w:p>
      <w:r>
        <w:t>继续优化姿态方案的规划与物理计算耗时，开展重复运行验证。肩腕转动优化和抬肘方案尚未同时达到三分钟仿真用时，实际运行三分钟目标仍未达到。当前成果限固定骨盆仿真，自由站立、导航联动及实机作业仍待验证。</w:t>
      </w:r>
    </w:p>
    <w:p>
      <w:pPr>
        <w:pStyle w:val="Heading1"/>
        <w:pageBreakBefore/>
      </w:pPr>
      <w:r>
        <w:t>技术专题一 全流程效率优化与计时验收</w:t>
      </w:r>
    </w:p>
    <w:p>
      <w:r>
        <w:rPr>
          <w:b/>
        </w:rPr>
        <w:t xml:space="preserve">技术难点  </w:t>
      </w:r>
      <w:r>
        <w:t>双臂串行、空手折返和重复等待增加了全流程耗时，局部提速又可能触发跟踪或夹持保护，需要统筹执行效率与物理稳定性。</w:t>
      </w:r>
    </w:p>
    <w:p>
      <w:pPr>
        <w:pStyle w:val="Heading2"/>
      </w:pPr>
      <w:r>
        <w:t>解决措施</w:t>
      </w:r>
    </w:p>
    <w:p>
      <w:r>
        <w:t>依据运行记录分析动作、规划和等待耗时，调整双臂协同、空手路径及可重叠等待，保留夹持、放置、转子运行和终态检查。双臂与躯干采用统一起始时间执行轨迹，优化后重新验证全流程。</w:t>
      </w:r>
    </w:p>
    <w:p>
      <w:r>
        <w:t>以首条有效任务记录为起点，以双盒返桌、释放及末态保持完成为终点，分别统计仿真用时与实际运行耗时。结合物理状态和全程录像确认任务完成情况，仅将全流程通过的运行计入速度成绩。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42687" cy="2967228"/>
            <wp:docPr id="1" name="Picture 1" descr="10月15日完整离心流程结束，两个蓝色料盒分别位于桌面两侧，离心机内双篮为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ded_actual_phase_20.png"/>
                    <pic:cNvPicPr/>
                  </pic:nvPicPr>
                  <pic:blipFill>
                    <a:blip r:embed="rId10"/>
                    <a:srcRect l="25833" t="17778" r="26667" b="11111"/>
                    <a:stretch>
                      <a:fillRect/>
                    </a:stretch>
                  </pic:blipFill>
                  <pic:spPr>
                    <a:xfrm>
                      <a:off x="0" y="0"/>
                      <a:ext cx="2642687" cy="296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图1  10月15日双盒返桌终态，料盒分置桌面两侧，设备内双篮为空。</w:t>
      </w:r>
    </w:p>
    <w:p>
      <w:r>
        <w:rPr>
          <w:b/>
        </w:rPr>
        <w:t xml:space="preserve">验证成果  </w:t>
      </w:r>
      <w:r>
        <w:t>速度方案的全流程仿真用时不足三分钟，实际运行约39分钟。早期与当前配置不同，该成绩反映多项改进的综合效果。</w:t>
      </w:r>
    </w:p>
    <w:p>
      <w:pPr>
        <w:pStyle w:val="SourceNote"/>
      </w:pPr>
      <w:r>
        <w:t>依据：10月10日至15日完整流程记录与速度核验结果；配图为实际运行原片抽帧。</w:t>
      </w:r>
    </w:p>
    <w:p>
      <w:pPr>
        <w:pStyle w:val="Heading1"/>
        <w:pageBreakBefore/>
      </w:pPr>
      <w:r>
        <w:t>技术专题二 双臂抓取路径与肩腕转动优化</w:t>
      </w:r>
    </w:p>
    <w:p>
      <w:r>
        <w:rPr>
          <w:b/>
        </w:rPr>
        <w:t xml:space="preserve">技术难点  </w:t>
      </w:r>
      <w:r>
        <w:t>同一抓取目标存在多种肩腕姿态，原可行路线仍有绕行和大幅转动。路径优化需要兼顾接近、下降和后续搬运的运动质量与可行性。</w:t>
      </w:r>
    </w:p>
    <w:p>
      <w:pPr>
        <w:pStyle w:val="Heading2"/>
      </w:pPr>
      <w:r>
        <w:t>解决措施</w:t>
      </w:r>
    </w:p>
    <w:p>
      <w:r>
        <w:t>以当前关节状态、料盒位姿和原有可行路线生成候选抓取方案。先检查关节范围、沿途碰撞及后续搬运可行性，再按接近与下降阶段的关节转动评分择优；未获得更优的合格方案时保留原路线。</w:t>
      </w:r>
    </w:p>
    <w:p>
      <w:r>
        <w:t>选定路线后重新执行完整任务，由控制器驱动轨迹，任务程序持续监测跟踪和夹持状态。依据实际发布轨迹统计转动改善，并结合双盒状态和完整录像确认后续加工、取回及返桌均可完成。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67228" cy="2967228"/>
            <wp:docPr id="2" name="Picture 2" descr="10月15日肩腕转动优化方案的前视原片，机器人双臂各夹持一个蓝色料盒向离心机搬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ded_actual_phase_05.png"/>
                    <pic:cNvPicPr/>
                  </pic:nvPicPr>
                  <pic:blipFill>
                    <a:blip r:embed="rId11"/>
                    <a:srcRect l="32500" t="22222" r="22500" b="17778"/>
                    <a:stretch>
                      <a:fillRect/>
                    </a:stretch>
                  </pic:blipFill>
                  <pic:spPr>
                    <a:xfrm>
                      <a:off x="0" y="0"/>
                      <a:ext cx="2967228" cy="296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图2  10月15日肩腕转动优化方案，双手分别夹持料盒向离心机搬运。</w:t>
      </w:r>
    </w:p>
    <w:p>
      <w:r>
        <w:rPr>
          <w:b/>
        </w:rPr>
        <w:t xml:space="preserve">验证成果  </w:t>
      </w:r>
      <w:r>
        <w:t>装盒抓取阶段肩腕累计转动减少约三分之一，全流程执行通过。多候选规划增加了计算耗时，该姿态方案尚未达到三分钟仿真用时。</w:t>
      </w:r>
    </w:p>
    <w:p>
      <w:pPr>
        <w:pStyle w:val="SourceNote"/>
      </w:pPr>
      <w:r>
        <w:t>依据：10月15日少翻臂运行记录与实际轨迹核验；配图为当日原片抽帧。</w:t>
      </w:r>
    </w:p>
    <w:p>
      <w:pPr>
        <w:pStyle w:val="Heading1"/>
        <w:pageBreakBefore/>
      </w:pPr>
      <w:r>
        <w:t>技术专题三 抬肘姿态约束与全流程验证</w:t>
      </w:r>
    </w:p>
    <w:p>
      <w:r>
        <w:rPr>
          <w:b/>
        </w:rPr>
        <w:t xml:space="preserve">技术难点  </w:t>
      </w:r>
      <w:r>
        <w:t>抬肘调整同时影响抓取、搬运和避碰，新路线曾出现局部速度与夹持输出超限。姿态优化必须满足整段路径和实际搬运要求。</w:t>
      </w:r>
    </w:p>
    <w:p>
      <w:pPr>
        <w:pStyle w:val="Heading2"/>
      </w:pPr>
      <w:r>
        <w:t>解决措施</w:t>
      </w:r>
    </w:p>
    <w:p>
      <w:r>
        <w:t>依据当前盒位、关节状态和搬运目标，联合求解躯干与双臂，比较篮口处的前臂方向及后续路线可行性。确认夹持稳定后保持实测抓持参考，姿态调整仍须满足盒位、关节和碰撞约束。</w:t>
      </w:r>
    </w:p>
    <w:p>
      <w:r>
        <w:t>针对接近及取回阶段的超限问题降低局部速度，再从桌面取盒开始验证全流程。执行中监测相对滑移、跟踪和夹爪输出，结束后独立重算原始姿态与夹持记录，并结合完整录像确认装篮、加工、取回和返桌结果。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3248" cy="2967228"/>
            <wp:docPr id="3" name="Picture 3" descr="10月16日实际仿真原片，机器人双肘抬起，双手分别夹住蓝色料盒从离心机内向上取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ded_actual_phase_14.png"/>
                    <pic:cNvPicPr/>
                  </pic:nvPicPr>
                  <pic:blipFill>
                    <a:blip r:embed="rId12"/>
                    <a:srcRect l="37500" t="24444" r="23333" b="27778"/>
                    <a:stretch>
                      <a:fillRect/>
                    </a:stretch>
                  </pic:blipFill>
                  <pic:spPr>
                    <a:xfrm>
                      <a:off x="0" y="0"/>
                      <a:ext cx="3243248" cy="296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图3  10月16日抬肘取盒，双手分别夹持蓝色料盒，肘部抬高。</w:t>
      </w:r>
    </w:p>
    <w:p>
      <w:r>
        <w:rPr>
          <w:b/>
        </w:rPr>
        <w:t xml:space="preserve">验证成果  </w:t>
      </w:r>
      <w:r>
        <w:t>10月16日完成抬肘方案全流程验证及独立复核。原审核失败记录保留，数值和接口口径问题经专项复核确认；该方案的执行效率仍需提升。</w:t>
      </w:r>
    </w:p>
    <w:p>
      <w:pPr>
        <w:pStyle w:val="SourceNote"/>
      </w:pPr>
      <w:r>
        <w:t>依据：10月16日完整运行报告与独立复核报告；配图为当日原片抽帧。</w:t>
      </w:r>
    </w:p>
    <w:p>
      <w:pPr>
        <w:pStyle w:val="Heading1"/>
        <w:pageBreakBefore/>
      </w:pPr>
      <w:r>
        <w:t>技术路线与核心技术栈</w:t>
      </w:r>
    </w:p>
    <w:p>
      <w:pPr>
        <w:spacing w:line="320" w:lineRule="exact"/>
      </w:pPr>
      <w:r>
        <w:t>自定义程序调度双臂与设备，料盒位姿来自Gazebo动态反馈。</w:t>
      </w:r>
    </w:p>
    <w:p>
      <w:pPr>
        <w:spacing w:line="300" w:lineRule="exact" w:after="80"/>
      </w:pPr>
      <w:r>
        <w:rPr>
          <w:b/>
        </w:rPr>
        <w:t xml:space="preserve">作业流程  </w:t>
      </w:r>
      <w:r>
        <w:t>读取状态 → 双臂联合规划 → 同步抓取装篮 → 按键加工 → 按当前盒位取回 → 返桌与复核</w:t>
      </w:r>
    </w:p>
    <w:p>
      <w:pPr>
        <w:spacing w:line="300" w:lineRule="exact" w:after="80"/>
      </w:pPr>
      <w:r>
        <w:rPr>
          <w:b/>
        </w:rPr>
        <w:t xml:space="preserve">执行检查  </w:t>
      </w:r>
      <w:r>
        <w:t>执行前核查路径，执行中监测反馈，结束后确认物料和设备状态；异常时停止推进并保持。</w:t>
      </w:r>
    </w:p>
    <w:p>
      <w:pPr>
        <w:pStyle w:val="Heading2"/>
      </w:pPr>
      <w:r>
        <w:t>核心技术栈及分工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44"/>
        <w:gridCol w:w="2952"/>
        <w:gridCol w:w="4982"/>
      </w:tblGrid>
      <w:tr>
        <w:trPr>
          <w:cantSplit/>
          <w:tblHeader/>
        </w:trPr>
        <w:tc>
          <w:tcPr>
            <w:tcW w:type="dxa" w:w="1944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技术名称</w:t>
            </w:r>
          </w:p>
        </w:tc>
        <w:tc>
          <w:tcPr>
            <w:tcW w:type="dxa" w:w="295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功能定位</w:t>
            </w:r>
          </w:p>
        </w:tc>
        <w:tc>
          <w:tcPr>
            <w:tcW w:type="dxa" w:w="498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项目应用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Gazebo</w:t>
              <w:br/>
              <w:t>URDF / SDF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物理仿真及机器人、设备的结构描述。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计算运动、接触、摩擦及料盒落篮，验证完整设备作业。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ROS 2 / ros_gz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程序通信与仿真数据连接工具。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传递轨迹、设备状态、接触反馈和仿真时间，支持协同执行。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ros2_control</w:t>
              <w:br/>
              <w:t>轨迹控制器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驱动关节并提供反馈的执行层。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执行躯干与双臂同步轨迹，调节夹爪力输出，供任务程序监测。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MoveIt模型接口</w:t>
              <w:br/>
              <w:t>FCL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机器人几何表示与碰撞检查工具。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提供模型和碰撞结果，支持自定义程序核查关节余量及携物路径。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Python / NumPy</w:t>
              <w:br/>
              <w:t>SciPy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流程编程、数值计算与求解工具。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联合求解两臂与躯干，比较姿态方案，组织任务阶段和检查条件。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审计脚本 / JSONL</w:t>
              <w:br/>
              <w:t>SHA-256 / FFmpeg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记录、文件校验及录像复核工具。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独立重算执行记录，核验时间与原片完整性，保留失败证据。</w:t>
            </w:r>
          </w:p>
        </w:tc>
      </w:tr>
    </w:tbl>
    <w:p>
      <w:pPr>
        <w:pStyle w:val="Heading2"/>
      </w:pPr>
      <w:r>
        <w:t>关键技术术语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232"/>
        <w:gridCol w:w="7646"/>
      </w:tblGrid>
      <w:tr>
        <w:trPr>
          <w:cantSplit/>
          <w:tblHeader/>
        </w:trPr>
        <w:tc>
          <w:tcPr>
            <w:tcW w:type="dxa" w:w="223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646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双臂逆运动学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依据双手目标位姿，联合计算共享躯干和两臂的关节角度。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路径与轨迹规划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路径确定运动位置，轨迹规定时间与速度，并检查沿途可行性。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反馈与阶段控制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控制器调节输出，任务程序依据状态推进阶段或暂停动作。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夹持滑移与参考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以稳定夹持时的相对关系为参考，监测料盒相对夹爪的偏移。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规划附着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将物料表示为随手移动的几何体，用于碰撞计算，不产生物理吸附。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FCL与碰撞模型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依据模型计算碰撞与间距，检查范围受碰撞几何覆盖限制。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仿真与实际运行时间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按相同任务起止点分别读取仿真时钟与电脑时钟，核算两种耗时。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独立复核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用独立只读程序复算原始记录，保留原审核日志及复核结论。</w:t>
            </w:r>
          </w:p>
        </w:tc>
      </w:tr>
    </w:tbl>
    <w:p>
      <w:pPr>
        <w:pStyle w:val="Heading1"/>
        <w:pageBreakBefore/>
      </w:pPr>
      <w:r>
        <w:t>技术实施说明 双盒离心机全流程工程</w:t>
      </w:r>
    </w:p>
    <w:p>
      <w:pPr>
        <w:pStyle w:val="Heading2"/>
      </w:pPr>
      <w:r>
        <w:t>从局部动作到连续作业</w:t>
      </w:r>
    </w:p>
    <w:p>
      <w:pPr>
        <w:pStyle w:val="Implementation"/>
      </w:pPr>
      <w:r>
        <w:t>10月在既有机器人、夹爪及离心机资产基础上，将双盒抓取、装篮、关盖启动、稳速旋转、停机开盖与取回返桌串联为连续作业流程。技术增量集中于双臂协同、设备互锁和跨阶段物理验收，验证范围为固定骨盆的Gazebo仿真。任务规划、执行监控和独立复核程序均由本地开发。</w:t>
      </w:r>
    </w:p>
    <w:p>
      <w:pPr>
        <w:pStyle w:val="Heading2"/>
      </w:pPr>
      <w:r>
        <w:t>输入管理与隔离运行</w:t>
      </w:r>
    </w:p>
    <w:p>
      <w:pPr>
        <w:pStyle w:val="Implementation"/>
      </w:pPr>
      <w:r>
        <w:t>模型、控制器配置及上一版程序作为输入封存，新运行使用独立构建目录、安装目录和通信分区。启动前检查依赖、控制器及录像；执行、状态守卫、磁盘监控和收尾监督分别运行，并保存输入、轨迹、反馈与原片，形成可追溯的运行记录。</w:t>
      </w:r>
    </w:p>
    <w:p>
      <w:pPr>
        <w:pStyle w:val="Heading2"/>
      </w:pPr>
      <w:r>
        <w:t>联合求解与物理反馈</w:t>
      </w:r>
    </w:p>
    <w:p>
      <w:pPr>
        <w:pStyle w:val="Implementation"/>
      </w:pPr>
      <w:r>
        <w:t>规划输入包括当前关节状态、Gazebo提供的料盒位姿及设备状态。自编程序联合求解躯干与双臂15个关节，MoveIt核心提供模型、正运动学和碰撞场景，FCL检查路径碰撞。规划附着物只参与几何计算；仿真中的持物依靠双指接触。执行时同步下发三组轨迹，以夹持力、滑移、篮体支撑及设备状态决定阶段转换；停机后按当前盒位重新规划取回。</w:t>
      </w:r>
    </w:p>
    <w:p>
      <w:pPr>
        <w:pStyle w:val="Heading2"/>
      </w:pPr>
      <w:r>
        <w:t>三类优化与验收关系</w:t>
      </w:r>
    </w:p>
    <w:p>
      <w:pPr>
        <w:pStyle w:val="Implementation"/>
      </w:pPr>
      <w:r>
        <w:t>效率方案优化时序，建立179.129仿真秒的完整流程基线；肩腕方案减少抓取阶段轴向转动；抬肘方案在保持抓取目标的条件下调整姿态。三者分别完成验证，姿态改善没有沿用速度基线结论。10月16日抬肘流程完成，原审核脚本失败记录保留，独立复核按原运行约定通过；最新方案用时207.730仿真秒，现实三分钟目标仍未达到。</w:t>
      </w:r>
    </w:p>
    <w:p>
      <w:pPr>
        <w:pStyle w:val="Heading2"/>
      </w:pPr>
      <w:r>
        <w:t>工程根目录</w:t>
      </w:r>
    </w:p>
    <w:p>
      <w:pPr>
        <w:pStyle w:val="Command"/>
        <w:keepNext/>
      </w:pPr>
      <w:r>
        <w:t>cd /home/liu/h1_moveit</w:t>
      </w:r>
    </w:p>
    <w:p>
      <w:pPr>
        <w:pStyle w:val="Command"/>
        <w:keepNext/>
      </w:pPr>
      <w:r>
        <w:t>WS="$PWD/h1_2_ros2_ws_claude_2026-07-30/h1_2_ros2_ws"</w:t>
      </w:r>
    </w:p>
    <w:p>
      <w:pPr>
        <w:pStyle w:val="Command"/>
        <w:keepNext w:val="0"/>
        <w:spacing w:after="140"/>
      </w:pPr>
      <w:r>
        <w:t>cd "$WS"</w:t>
      </w:r>
    </w:p>
    <w:p>
      <w:pPr>
        <w:pStyle w:val="Reference"/>
      </w:pPr>
      <w:r/>
      <w:hyperlink r:id="rId29" w:history="1">
        <w:r>
          <w:rPr>
            <w:color w:val="225E78"/>
            <w:u w:val="single"/>
          </w:rPr>
          <w:t>完整流程与最终状态</w:t>
        </w:r>
      </w:hyperlink>
    </w:p>
    <w:p>
      <w:pPr>
        <w:pStyle w:val="Reference"/>
      </w:pPr>
      <w:r/>
      <w:hyperlink r:id="rId23" w:history="1">
        <w:r>
          <w:rPr>
            <w:color w:val="225E78"/>
            <w:u w:val="single"/>
          </w:rPr>
          <w:t>双臂执行与物理反馈</w:t>
        </w:r>
      </w:hyperlink>
    </w:p>
    <w:p>
      <w:pPr>
        <w:pStyle w:val="Reference"/>
      </w:pPr>
      <w:r/>
      <w:hyperlink r:id="rId27" w:history="1">
        <w:r>
          <w:rPr>
            <w:color w:val="225E78"/>
            <w:u w:val="single"/>
          </w:rPr>
          <w:t>效率方案运行报告</w:t>
        </w:r>
      </w:hyperlink>
    </w:p>
    <w:p>
      <w:pPr>
        <w:pStyle w:val="Reference"/>
      </w:pPr>
      <w:r/>
      <w:hyperlink r:id="rId28" w:history="1">
        <w:r>
          <w:rPr>
            <w:color w:val="225E78"/>
            <w:u w:val="single"/>
          </w:rPr>
          <w:t>肩腕转动优化报告</w:t>
        </w:r>
      </w:hyperlink>
    </w:p>
    <w:p>
      <w:pPr>
        <w:pStyle w:val="Reference"/>
      </w:pPr>
      <w:r/>
      <w:hyperlink r:id="rId30" w:history="1">
        <w:r>
          <w:rPr>
            <w:color w:val="225E78"/>
            <w:u w:val="single"/>
          </w:rPr>
          <w:t>抬肘独立复核报告</w:t>
        </w:r>
      </w:hyperlink>
    </w:p>
    <w:p>
      <w:pPr>
        <w:pStyle w:val="Heading1"/>
        <w:pageBreakBefore/>
      </w:pPr>
      <w:r>
        <w:t>技术实施 资产来源与工程配置</w:t>
      </w:r>
    </w:p>
    <w:p>
      <w:pPr>
        <w:pStyle w:val="Heading2"/>
      </w:pPr>
      <w:r>
        <w:t>模型与程序的来源</w:t>
      </w:r>
    </w:p>
    <w:p>
      <w:pPr>
        <w:pStyle w:val="Implementation"/>
      </w:pPr>
      <w:r>
        <w:t>封存目录记录了从上一版复制输入、核验哈希、派生新身份和隔离配置的过程；离心机互锁制动插件也继承自本地已有构建。H1主模型沿用本地既有资产，初次下载及原仓库来源尚缺记录。</w:t>
      </w:r>
    </w:p>
    <w:p>
      <w:pPr>
        <w:pStyle w:val="Implementation"/>
      </w:pPr>
      <w:r>
        <w:t>夹爪模型有明确上游：Unitree的dex1_1_service仓库，记录了固定提交和BSD-3-Clause许可；本地增加了关节命名前缀、右腕安装关系、工具中心点及接触垫适配。离心机与料盒资产来自本地交付目录：离心机于9月20日导入11件STL及装配参考，48孔盒于9月23日导入48box.stl，10月沿用这些资产。离心机按毫米转米并统一转换坐标；料盒按既定85%比例装配。原STL保留，碰撞计算使用保守外包围盒，质量、惯量和摩擦属于仿真参数。</w:t>
      </w:r>
    </w:p>
    <w:p>
      <w:pPr>
        <w:pStyle w:val="Reference"/>
      </w:pPr>
      <w:r/>
      <w:hyperlink r:id="rId18" w:history="1">
        <w:r>
          <w:rPr>
            <w:color w:val="225E78"/>
            <w:u w:val="single"/>
          </w:rPr>
          <w:t>Unitree Dex1上游仓库</w:t>
        </w:r>
      </w:hyperlink>
      <w:r>
        <w:t xml:space="preserve">  模型来源；本地适配说明与固定提交见附录索引。</w:t>
      </w:r>
    </w:p>
    <w:p>
      <w:pPr>
        <w:pStyle w:val="Heading2"/>
      </w:pPr>
      <w:r>
        <w:t>本月实际配置</w:t>
      </w:r>
    </w:p>
    <w:p>
      <w:pPr>
        <w:pStyle w:val="Implementation"/>
      </w:pPr>
      <w:r>
        <w:t>本次运行使用既有ROS 2 Jazzy与Gazebo环境。工程源码位于src，封存输入、运行日志、轨迹和录像集中在本次runtime_evidence目录；场景采用独立安装前缀，避免覆盖日常工程。配置中明确设置独立ROS通信域和Gazebo分区、仅本机发现、系统Python及图形显示环境。实际构建日志记录了只构建模型与MoveIt配置两个包，并使用单独build/install目录。构建脚本还处理了Conda动态库干扰，结束后逐项核验原库恢复。</w:t>
      </w:r>
    </w:p>
    <w:p>
      <w:pPr>
        <w:pStyle w:val="Implementation"/>
      </w:pPr>
      <w:r>
        <w:t>本次场景使用封存的robot_dual.urdf、controllers_servo.yaml与lab_fast_world.sdf。物理步长为0.5毫秒、控制器更新频率500Hz；躯干和双臂使用位置轨迹接口，两夹爪使用力矩接口。六组控制器实际读回后方可进入任务。软件环境沿用既有安装。</w:t>
      </w:r>
    </w:p>
    <w:p>
      <w:pPr>
        <w:pStyle w:val="Implementation"/>
      </w:pPr>
      <w:r>
        <w:t>执行记录绑定通信域94、Gazebo分区及归档依赖清单。每次规划所用输入与同次验收结果关联保存，防止混入其他试验的数据。</w:t>
      </w:r>
    </w:p>
    <w:p>
      <w:pPr>
        <w:pStyle w:val="Reference"/>
      </w:pPr>
      <w:r>
        <w:t>来源：Dex1 README第3—12行；两类模型PROVENANCE/README；r291场景依赖清单、启动脚本及控制器配置。下文RUN均指本次封存目录。</w:t>
      </w:r>
    </w:p>
    <w:p>
      <w:pPr>
        <w:pStyle w:val="Heading1"/>
        <w:pageBreakBefore/>
      </w:pPr>
      <w:r>
        <w:t>技术实施 隔离构建与场景启动</w:t>
      </w:r>
    </w:p>
    <w:p>
      <w:pPr>
        <w:pStyle w:val="Heading2"/>
      </w:pPr>
      <w:r>
        <w:t>构建记录与环境前提</w:t>
      </w:r>
    </w:p>
    <w:p>
      <w:pPr>
        <w:pStyle w:val="Implementation"/>
      </w:pPr>
      <w:r>
        <w:t>下列参数来自10月16日实际colcon构建日志。WS表示工程根目录，RUN表示封存证据目录，PREFIX表示独立安装目录。构建前已加载ROS与既有工程环境，安装目录须为新目录。原包装脚本还临时处理了Conda动态库冲突，并逐项验证恢复。</w:t>
      </w:r>
    </w:p>
    <w:p>
      <w:pPr>
        <w:pStyle w:val="Command"/>
        <w:keepNext/>
      </w:pPr>
      <w:r>
        <w:t>RUN="$WS/runtime_evidence/centrifuge_48box_elbow_full_20261016_r291"</w:t>
      </w:r>
    </w:p>
    <w:p>
      <w:pPr>
        <w:pStyle w:val="Command"/>
        <w:keepNext/>
      </w:pPr>
      <w:r>
        <w:t>PREFIX="$WS/install_lab_scene_48box_elbow_full_20261016_r291"</w:t>
      </w:r>
    </w:p>
    <w:p>
      <w:pPr>
        <w:pStyle w:val="Command"/>
        <w:keepNext/>
      </w:pPr>
      <w:r>
        <w:t>cd "$WS"</w:t>
      </w:r>
    </w:p>
    <w:p>
      <w:pPr>
        <w:pStyle w:val="Command"/>
        <w:keepNext/>
      </w:pPr>
      <w:r>
        <w:t>/usr/bin/colcon --log-base "$RUN/colcon_log" build \</w:t>
      </w:r>
    </w:p>
    <w:p>
      <w:pPr>
        <w:pStyle w:val="Command"/>
        <w:keepNext/>
      </w:pPr>
      <w:r>
        <w:t xml:space="preserve">  --base-paths src --build-base "$RUN/build/unique_prefix" \</w:t>
      </w:r>
    </w:p>
    <w:p>
      <w:pPr>
        <w:pStyle w:val="Command"/>
        <w:keepNext/>
      </w:pPr>
      <w:r>
        <w:t xml:space="preserve">  --install-base "$PREFIX" --symlink-install \</w:t>
      </w:r>
    </w:p>
    <w:p>
      <w:pPr>
        <w:pStyle w:val="Command"/>
        <w:keepNext/>
      </w:pPr>
      <w:r>
        <w:t xml:space="preserve">  --packages-select h1_2_description h1_2_moveit_config \</w:t>
      </w:r>
    </w:p>
    <w:p>
      <w:pPr>
        <w:pStyle w:val="Command"/>
        <w:keepNext w:val="0"/>
        <w:spacing w:after="140"/>
      </w:pPr>
      <w:r>
        <w:t xml:space="preserve">  --cmake-args -DPython3_EXECUTABLE=/usr/bin/python3</w:t>
      </w:r>
    </w:p>
    <w:p>
      <w:pPr>
        <w:pStyle w:val="Heading2"/>
      </w:pPr>
      <w:r>
        <w:t>场景运行记录</w:t>
      </w:r>
    </w:p>
    <w:p>
      <w:pPr>
        <w:pStyle w:val="Implementation"/>
      </w:pPr>
      <w:r>
        <w:t>以下场景参数取自实际launch进程记录；通信隔离与本机发现来自同次启动脚本。它们选择双盒离心机场景、仿真按钮的物理接触，关闭开盖旋转演示。图形显示、Xauthority、归档依赖及封存检查由包装脚本负责。</w:t>
      </w:r>
    </w:p>
    <w:p>
      <w:pPr>
        <w:pStyle w:val="Command"/>
        <w:keepNext/>
      </w:pPr>
      <w:r>
        <w:t>source /opt/ros/jazzy/setup.bash</w:t>
      </w:r>
    </w:p>
    <w:p>
      <w:pPr>
        <w:pStyle w:val="Command"/>
        <w:keepNext/>
      </w:pPr>
      <w:r>
        <w:t>source install/setup.bash</w:t>
      </w:r>
    </w:p>
    <w:p>
      <w:pPr>
        <w:pStyle w:val="Command"/>
        <w:keepNext/>
      </w:pPr>
      <w:r>
        <w:t>source "$PREFIX/local_setup.bash"</w:t>
      </w:r>
    </w:p>
    <w:p>
      <w:pPr>
        <w:pStyle w:val="Command"/>
        <w:keepNext/>
      </w:pPr>
      <w:r>
        <w:t>export ROS_DOMAIN_ID=94 GZ_PARTITION=h1_elbow_r291</w:t>
      </w:r>
    </w:p>
    <w:p>
      <w:pPr>
        <w:pStyle w:val="Command"/>
        <w:keepNext/>
      </w:pPr>
      <w:r>
        <w:t>export ROS_AUTOMATIC_DISCOVERY_RANGE=LOCALHOST</w:t>
      </w:r>
    </w:p>
    <w:p>
      <w:pPr>
        <w:pStyle w:val="Command"/>
        <w:keepNext/>
      </w:pPr>
      <w:r>
        <w:t>export PYTHONDONTWRITEBYTECODE=1 PYTHONNOUSERSITE=1</w:t>
      </w:r>
    </w:p>
    <w:p>
      <w:pPr>
        <w:pStyle w:val="Command"/>
        <w:keepNext/>
      </w:pPr>
      <w:r>
        <w:t>ros2 launch "$RUN/inputs/lab_dual.launch.py" \</w:t>
      </w:r>
    </w:p>
    <w:p>
      <w:pPr>
        <w:pStyle w:val="Command"/>
        <w:keepNext/>
      </w:pPr>
      <w:r>
        <w:t xml:space="preserve">  scene:=centrifuge with_48box:=true \</w:t>
      </w:r>
    </w:p>
    <w:p>
      <w:pPr>
        <w:pStyle w:val="Command"/>
        <w:keepNext w:val="0"/>
        <w:spacing w:after="140"/>
      </w:pPr>
      <w:r>
        <w:t xml:space="preserve">  enable_robot_press:=true allow_open_lid_demo:=false</w:t>
      </w:r>
    </w:p>
    <w:p>
      <w:pPr>
        <w:pStyle w:val="Implementation"/>
      </w:pPr>
      <w:r>
        <w:t>既有RUN、claim及输出已封存；后续运行须派生新身份、安装目录和通信隔离配置，并重新构建、测试、封存及完成启动审核。</w:t>
      </w:r>
    </w:p>
    <w:p>
      <w:pPr>
        <w:pStyle w:val="Reference"/>
      </w:pPr>
      <w:r>
        <w:t>来源：r291 logger_all.log第1行；build_scene.sh第1—52行；run/launch_pid.json第4行；start_front_recording.sh第7—25行。</w:t>
      </w:r>
    </w:p>
    <w:p>
      <w:pPr>
        <w:pStyle w:val="Heading1"/>
        <w:pageBreakBefore/>
      </w:pPr>
      <w:r>
        <w:t>技术实施 执行编排与物理验收</w:t>
      </w:r>
    </w:p>
    <w:p>
      <w:pPr>
        <w:pStyle w:val="Heading2"/>
      </w:pPr>
      <w:r>
        <w:t>完整运行的入口与协同进程</w:t>
      </w:r>
    </w:p>
    <w:p>
      <w:pPr>
        <w:pStyle w:val="Implementation"/>
      </w:pPr>
      <w:r>
        <w:t>准备脚本完成离线检查和测试；启动脚本依次完成场景、控制器健康检查、录像烟测及首帧审看。确认画面和状态后，恢复入口接入launch_run.py，统一管理任务执行、独立守卫、磁盘监控和收尾监督。下列入口按封存脚本调用关系整理。</w:t>
      </w:r>
    </w:p>
    <w:p>
      <w:pPr>
        <w:pStyle w:val="Command"/>
        <w:keepNext/>
      </w:pPr>
      <w:r>
        <w:t>bash "$RUN/prepare_elbow.sh"</w:t>
      </w:r>
    </w:p>
    <w:p>
      <w:pPr>
        <w:pStyle w:val="Command"/>
        <w:keepNext/>
      </w:pPr>
      <w:r>
        <w:t>bash "$RUN/start_front_recording.sh"</w:t>
      </w:r>
    </w:p>
    <w:p>
      <w:pPr>
        <w:pStyle w:val="Command"/>
        <w:keepNext/>
      </w:pPr>
      <w:r>
        <w:t># 首帧审看与对应校验全部通过后，接入原执行编排：</w:t>
      </w:r>
    </w:p>
    <w:p>
      <w:pPr>
        <w:pStyle w:val="Command"/>
        <w:keepNext w:val="0"/>
        <w:spacing w:after="140"/>
      </w:pPr>
      <w:r>
        <w:t>/usr/bin/python3 "$RUN/startup_review_freeze.py" resume</w:t>
      </w:r>
    </w:p>
    <w:p>
      <w:pPr>
        <w:pStyle w:val="Implementation"/>
      </w:pPr>
      <w:r>
        <w:t>实际进程记录分别保存了execute_cycle.py、run_guard.py、disk_watch.py和supervise_completion.py的Python命令、PID及创建时间，四进程退出码均为0。四个角色共同构成完整运行链。</w:t>
      </w:r>
    </w:p>
    <w:p>
      <w:pPr>
        <w:pStyle w:val="Heading2"/>
      </w:pPr>
      <w:r>
        <w:t>物理夹持与设备动作的反馈闭环</w:t>
      </w:r>
    </w:p>
    <w:p>
      <w:pPr>
        <w:pStyle w:val="Implementation"/>
      </w:pPr>
      <w:r>
        <w:t>通过校验的躯干、左臂和右臂轨迹共享起始时刻与时间序列，执行时持续比较实际关节与期望位置，并监控接触、夹持力、滑移和仿真时钟。真实双指接触满足条件后才建立持物记录，首次抓持参考在释放前保持不变。装载先试抬并检查离桌状态，完成规定保持后再搬运；释放前确认盒体处于篮内允许区域，松夹后还要验证篮体支撑、无手指接触及连续稳定。取回则根据停转后的当前盒位重新规划，完成离篮、夹持保持、返桌接触和松夹观察，最后保持终态。</w:t>
      </w:r>
    </w:p>
    <w:p>
      <w:pPr>
        <w:pStyle w:val="Implementation"/>
      </w:pPr>
      <w:r>
        <w:t>离心机开关由指尖与仿真按钮碰撞体的接触触发，设备状态参与流程互锁：关盖满足条件后启动，进入目标转速区间后累计稳转时间，停止调度结合转子相位及已观测的按钮动作时延，停稳且设备允许开盖后才进入取回。每一步的接触事件和状态反馈均进入验收，避免仅以“指令已发送”作为成功依据。</w:t>
      </w:r>
    </w:p>
    <w:p>
      <w:pPr>
        <w:pStyle w:val="Implementation"/>
      </w:pPr>
      <w:r>
        <w:t>抓取、搬运和释放的每次状态转换均有条件。装载与取回分别保留不少于10仿真秒的夹持观察，松夹落篮及返桌分别保留3仿真秒稳定观察，稳速旋转不少于30仿真秒，完整结束后保持10仿真秒。验收同时核对物体位置、真实接触、夹持记录和机器状态，而不是只检查程序是否退出。</w:t>
      </w:r>
    </w:p>
    <w:p>
      <w:pPr>
        <w:pStyle w:val="Reference"/>
      </w:pPr>
      <w:r>
        <w:t>来源：r291 prepare_elbow.sh、start_front_recording.sh、startup_review_freeze.py；run/process_identities.json与process_exit_status.json；execute_dual.py第331—668行。</w:t>
      </w:r>
    </w:p>
    <w:p>
      <w:pPr>
        <w:pStyle w:val="Heading1"/>
        <w:pageBreakBefore/>
      </w:pPr>
      <w:r>
        <w:t>技术实施 双臂规划与状态数据流</w:t>
      </w:r>
    </w:p>
    <w:p>
      <w:pPr>
        <w:pStyle w:val="Heading2"/>
      </w:pPr>
      <w:r>
        <w:t>当前状态驱动的规划请求</w:t>
      </w:r>
    </w:p>
    <w:p>
      <w:pPr>
        <w:pStyle w:val="Implementation"/>
      </w:pPr>
      <w:r>
        <w:t>全流程由自编状态流程控制器组织：开盖、双盒抓取与装篮、关盖启动、稳速旋转、停止开盖、重新抓取返桌和终态保持。每次需要新规划时，读取实际关节状态、Gazebo当前盒位及设备状态，保存为带时间的请求。料盒位置读取Gazebo动态位姿反馈。规划在独立子进程完成，返回后再次比较关节与物体快照；状态变化超过允许范围则拒绝采用旧路径，防止将已经失效的计划继续下发。</w:t>
      </w:r>
    </w:p>
    <w:p>
      <w:pPr>
        <w:pStyle w:val="Heading2"/>
      </w:pPr>
      <w:r>
        <w:t>目标位姿到双臂联合轨迹</w:t>
      </w:r>
    </w:p>
    <w:p>
      <w:pPr>
        <w:pStyle w:val="Implementation"/>
      </w:pPr>
      <w:r>
        <w:t>双臂规划把躯干与两臂共15个关节联合求解。给定盒体目标和手—盒关系，先反算两只手腕的目标位姿；盒体位置沿线性路径变化，方向采用球面插值。每个离散目标用有边界的最小二乘求解逆运动学，并以相邻解作为种子维持连续性。MoveIt核心提供机器人模型、正运动学和碰撞场景，FCL用于密集碰撞检查；任务路线及求解调度由本地程序完成。规划中的附着物仅用于计算随手移动的料盒几何，不会把Gazebo料盒吸附在手上。</w:t>
      </w:r>
    </w:p>
    <w:p>
      <w:pPr>
        <w:pStyle w:val="Implementation"/>
      </w:pPr>
      <w:r>
        <w:t>联合求解中，手腕目标由盒体目标乘以手—盒关系的逆变换得到；位置误差、方向误差和较小的种子偏移共同构成求解残差。关节变量受模型限位与余量限制。相邻目标沿上一解连续求解，得到路径后按最大关节步长2毫弧度密集插值并检查碰撞，避免仅凭起点和终点可达就认定整条路径可执行。</w:t>
      </w:r>
    </w:p>
    <w:p>
      <w:pPr>
        <w:pStyle w:val="Heading2"/>
      </w:pPr>
      <w:r>
        <w:t>规划坐标关系与运行保护分开保存</w:t>
      </w:r>
    </w:p>
    <w:p>
      <w:pPr>
        <w:pStyle w:val="Implementation"/>
      </w:pPr>
      <w:r>
        <w:t>抓持时，程序根据真实双指接触和夹持力建立首次腕—盒锚点，直至合格释放前始终冻结。后续规划可用当前真实关节与盒位重新表达规划专用变换，但不能替换运行保护锚点；否则持续滑移会被新的参考抵消，无法及时检出。</w:t>
      </w:r>
    </w:p>
    <w:p>
      <w:pPr>
        <w:pStyle w:val="Implementation"/>
      </w:pPr>
      <w:r>
        <w:t>规划结果返回后还要检查输入是否仍然有效：实际关节、料盒位置和角度偏离快照超过限制即拒绝采用。通过检查的路径共享时间戳下发到躯干与双臂控制器，执行中的偏差、接触与滑移继续受监控。规划可行性、控制跟踪与物理完成由不同检查层负责。</w:t>
      </w:r>
    </w:p>
    <w:p>
      <w:pPr>
        <w:pStyle w:val="Reference"/>
      </w:pPr>
      <w:r>
        <w:t>来源：execute_dual.py第396—438行；dual_worker.py第19—110行；coupled_path.py第34—104行；dual_motion.py第25—73行；MoveIt核心导入见centrifuge_press_plan.py第29—59行。</w:t>
      </w:r>
    </w:p>
    <w:p>
      <w:pPr>
        <w:pStyle w:val="Heading1"/>
        <w:pageBreakBefore/>
      </w:pPr>
      <w:r>
        <w:t>技术实施 效率与肩腕转动优化</w:t>
      </w:r>
    </w:p>
    <w:p>
      <w:pPr>
        <w:pStyle w:val="Heading2"/>
      </w:pPr>
      <w:r>
        <w:t>在观察时间与反馈条件不变的前提下提速</w:t>
      </w:r>
    </w:p>
    <w:p>
      <w:pPr>
        <w:pStyle w:val="Implementation"/>
      </w:pPr>
      <w:r>
        <w:t>效率优化在保留夹持保持、松夹观察及稳转时间的条件下，调整已验证的移动时序与阶段衔接。端点衔接必须同时满足轨迹时段结束、新反馈已到达、实际关节误差合格及持物有效等条件。10月15日速度基线完成双盒全流程，用时179.129仿真秒，电脑实际等待约38分45秒。该次可选微对齐分支没有触发，离线预算未计入实际缩时。历史总体缩时反映多项变更的综合效果，配置不完全相同。</w:t>
      </w:r>
    </w:p>
    <w:p>
      <w:pPr>
        <w:pStyle w:val="Heading2"/>
      </w:pPr>
      <w:r>
        <w:t>根据整段路径筛选抓取方案</w:t>
      </w:r>
    </w:p>
    <w:p>
      <w:pPr>
        <w:pStyle w:val="Implementation"/>
      </w:pPr>
      <w:r>
        <w:t>肩腕转动优化针对空手接近与抓取阶段，在同一实际状态下比较原路径、对称抓取方向及多组逆运动学种子。评分综合全部关节累计运动、肩腕轴向累计转动及最大单关节变化范围，使用未取模的真实关节角避免把大幅绕转误算成短路径。连接路径先尝试安全直连或原路径前缀，必要时采用有时间上限的RRT候选；所有候选仍须通过原密集碰撞检查。只有完整接近、下降及后续搬运前瞻均通过且代价改善，才替换原方案，否则保留基线。</w:t>
      </w:r>
    </w:p>
    <w:p>
      <w:pPr>
        <w:pStyle w:val="Implementation"/>
      </w:pPr>
      <w:r>
        <w:t>路径筛选保留可执行的原方案作为回退。候选覆盖左右手对称接触方向和多组固定种子，先做可达性与碰撞筛查，再比较接近、下降和后续运输几何。搜索数量与计算时间均设上限；RRT仅用于部分空手连接路径候选，不承担整个离心机作业流程的自动决策。实际取盒改进保留原抓取端点与下降路径，避免因追求少转动改变已验证的抓持条件。</w:t>
      </w:r>
    </w:p>
    <w:p>
      <w:pPr>
        <w:pStyle w:val="Heading2"/>
      </w:pPr>
      <w:r>
        <w:t>实际验证结果与适用范围</w:t>
      </w:r>
    </w:p>
    <w:p>
      <w:pPr>
        <w:pStyle w:val="Implementation"/>
      </w:pPr>
      <w:r>
        <w:t>实际复核显示，装盒抓取阶段肩腕轴向累计转动减少35.43%，取盒抓取减少4.33%；后一阶段保留原抓取端点和下降轨迹，改善主要来自接近路径缩短。该方案完整流程通过，但耗时193.979仿真秒、约42分17秒墙钟时间。该姿态方案改善了转动质量，仿真和现实三分钟目标均未达到。</w:t>
      </w:r>
    </w:p>
    <w:p>
      <w:pPr>
        <w:pStyle w:val="Implementation"/>
      </w:pPr>
      <w:r>
        <w:t>路径改善由独立程序在同一实际快照上重建原规划，核对真实发布样本并重新计算累计转动和碰撞结果。35.43%与4.33%的改善范围为两段空手抓取路径，未覆盖全流程运动量或耗时。10月16日抬肘方案采用不同姿态与速度配置，其207.730仿真秒结果另行记录。</w:t>
      </w:r>
    </w:p>
    <w:p>
      <w:pPr>
        <w:pStyle w:val="Reference"/>
      </w:pPr>
      <w:r>
        <w:t>来源：minimum_turn.py第25—101、171—272行；endpoint_overlap_cycle.py第10—38行；</w:t>
        <w:br/>
        <w:t>r283 REPORT第3—47行；r285 REPORT第9—58行。</w:t>
      </w:r>
    </w:p>
    <w:p>
      <w:pPr>
        <w:pStyle w:val="Heading1"/>
        <w:pageBreakBefore/>
      </w:pPr>
      <w:r>
        <w:t>技术实施 抬肘约束优化与独立复核</w:t>
      </w:r>
    </w:p>
    <w:p>
      <w:pPr>
        <w:pStyle w:val="Heading2"/>
      </w:pPr>
      <w:r>
        <w:t>保持手腕目标的局部姿态优化</w:t>
      </w:r>
    </w:p>
    <w:p>
      <w:pPr>
        <w:pStyle w:val="Implementation"/>
      </w:pPr>
      <w:r>
        <w:t>抬肘方案在已经满足抓取位姿的逆运动学解上进行局部优化。求解器以手腕位置和方向误差为等式约束，限制每个关节只在原解附近小范围调整，将肘部靠近“手腕上方”作为目标，同时抑制额外关节变化。采用SLSQP约束优化；只有收敛、手腕精度保持且目标改善时才接受新解，否则沿用原解。这使姿态优化建立在夹持目标不变的基础上。</w:t>
      </w:r>
    </w:p>
    <w:p>
      <w:pPr>
        <w:pStyle w:val="Implementation"/>
      </w:pPr>
      <w:r>
        <w:t>具体实现将肘部目标设在手腕上方0.24米，关节调整范围取原解附近±0.045弧度与原关节限位的交集，并加入小幅关节变化惩罚。该目标引导前臂趋向下垂，但仍服从手腕精度、碰撞与可达性条件；优化失败时返回原解，夹持精度与原保护约束保持不变。</w:t>
      </w:r>
    </w:p>
    <w:p>
      <w:pPr>
        <w:pStyle w:val="Heading2"/>
      </w:pPr>
      <w:r>
        <w:t>从抓取端点扩展到搬运全过程</w:t>
      </w:r>
    </w:p>
    <w:p>
      <w:pPr>
        <w:pStyle w:val="Implementation"/>
      </w:pPr>
      <w:r>
        <w:t>仅在空手阶段允许比较左右手各0°或180°的对称抓取分支。程序根据当前盒位和关节状态生成候选，先评价前臂方向与运动量，再对优先候选执行完整接近、下降及搬运前瞻检查，最终比较篮口搬运段的姿态。历史试验暴露取盒外移力峰后，当前方案降低该段及后续搬运速度上限，保留抓力、PID和原保护条件。姿态选择受到安全、可达性及求解时间约束。</w:t>
      </w:r>
    </w:p>
    <w:p>
      <w:pPr>
        <w:pStyle w:val="Heading2"/>
      </w:pPr>
      <w:r>
        <w:t>完整执行与审核结论</w:t>
      </w:r>
    </w:p>
    <w:p>
      <w:pPr>
        <w:pStyle w:val="Implementation"/>
      </w:pPr>
      <w:r>
        <w:t>10月16日抬肘方案完成连续仿真全流程，实际执行器、28项物理验收及独立双持物检查通过，夹持滑移低于原2毫米限值。原姿态审核脚本仍保留失败结果：一处忽略既有数值容差，另一处混淆规划变换与完整持物快照。独立只读复核按原运行约定重算抓持锚点、规划变换及实际发布轨迹，7组轨迹、9271次密集碰撞检查和21项专项测试通过；未改写原运行数据。最终用时207.730仿真秒、约39分22秒墙钟时间，速度目标仍未达到。</w:t>
      </w:r>
    </w:p>
    <w:p>
      <w:pPr>
        <w:pStyle w:val="Implementation"/>
      </w:pPr>
      <w:r>
        <w:t>复核保留原速度谓词及既有数值容差，并验证真实超速样本仍会被拒绝。持物检查分别核对首次真实抓持锚点、当前规划坐标变换与已发布轨迹，未修改物理数据或新增碰撞豁免。原姿态审核失败和速度失败日志均保留，最终结论绑定独立复核结果；原审核并非全部一次通过。</w:t>
      </w:r>
    </w:p>
    <w:p>
      <w:pPr>
        <w:pStyle w:val="Reference"/>
      </w:pPr>
      <w:r>
        <w:t>来源：elbow_posture.py第59—176行；elbow_transport_rate.py第6—20行；r291 REPORT第22—78行；独立复核REPORT第3—32行。</w:t>
      </w:r>
    </w:p>
    <w:p>
      <w:pPr>
        <w:pStyle w:val="Heading1"/>
        <w:pageBreakBefore/>
      </w:pPr>
      <w:r>
        <w:t>技术实施 日志录像与证据入口</w:t>
      </w:r>
    </w:p>
    <w:p>
      <w:pPr>
        <w:pStyle w:val="Heading2"/>
      </w:pPr>
      <w:r>
        <w:t>记录与计时</w:t>
      </w:r>
    </w:p>
    <w:p>
      <w:pPr>
        <w:pStyle w:val="Implementation"/>
      </w:pPr>
      <w:r>
        <w:t>运行日志以逐事件JSONL记录命令、实际反馈、接触和阶段结果，再进行无损gzip归档，通过行数、原始字节数、CRC及SHA-256验证内容完整。计时从首条有效仿真时间到同一运行完整PASS，独立要求两盒返桌、物理验收和双持物检查通过，同时单列墙钟时间。碰撞复核重建实际请求场景并核对已发布样本；夹持复核始终回到首次真实抓持锚点，规划重新表达坐标关系不构成重置滑移基准。</w:t>
      </w:r>
    </w:p>
    <w:p>
      <w:pPr>
        <w:pStyle w:val="Implementation"/>
      </w:pPr>
      <w:r>
        <w:t>录像直接采集完整Gazebo窗口，按12帧/秒送入FFmpeg，保存真实采样次数、重复帧及最大采样间隔。结束时先正常停止编码并完整解码检查，再关闭仿真场景。10月16日原片约39分51秒，覆盖准备和收尾；约2分45秒的汇报片由该原片加速及缩短静止段生成，不能作为执行耗时。结论仅覆盖固定骨盆的Gazebo手部流程及现有碰撞模型，尚不构成真实机器人、自由行走或Nav2联动验证，部分仅有外观而无碰撞几何的腕部模型覆盖限制继续保留。</w:t>
      </w:r>
    </w:p>
    <w:p>
      <w:pPr>
        <w:pStyle w:val="Implementation"/>
      </w:pPr>
      <w:r>
        <w:t>下列录像命令来自实际进程记录，RUN指向封存目录。窗口编号只对应当次窗口；新运行需重新验证窗口、相机及输出目录。</w:t>
      </w:r>
    </w:p>
    <w:p>
      <w:pPr>
        <w:pStyle w:val="Command"/>
        <w:keepNext/>
      </w:pPr>
      <w:r>
        <w:t>/usr/bin/python3 "$RUN/record_window.py" \</w:t>
      </w:r>
    </w:p>
    <w:p>
      <w:pPr>
        <w:pStyle w:val="Command"/>
        <w:keepNext w:val="0"/>
        <w:spacing w:after="140"/>
      </w:pPr>
      <w:r>
        <w:t xml:space="preserve">  0x160000e "$RUN/run/full_cycle.mp4"</w:t>
      </w:r>
    </w:p>
    <w:p>
      <w:pPr>
        <w:pStyle w:val="Heading2"/>
      </w:pPr>
      <w:r>
        <w:t>主要来源与实现入口</w:t>
      </w:r>
    </w:p>
    <w:p>
      <w:pPr>
        <w:pStyle w:val="Reference"/>
      </w:pPr>
      <w:r/>
      <w:hyperlink r:id="rId19" w:history="1">
        <w:r>
          <w:rPr>
            <w:color w:val="225E78"/>
            <w:u w:val="single"/>
          </w:rPr>
          <w:t>模型来源：Dex1适配说明</w:t>
        </w:r>
      </w:hyperlink>
      <w:r>
        <w:t xml:space="preserve">  第3—12行</w:t>
      </w:r>
    </w:p>
    <w:p>
      <w:pPr>
        <w:pStyle w:val="Reference"/>
      </w:pPr>
      <w:r/>
      <w:hyperlink r:id="rId20" w:history="1">
        <w:r>
          <w:rPr>
            <w:color w:val="225E78"/>
            <w:u w:val="single"/>
          </w:rPr>
          <w:t>模型来源：离心机导入记录</w:t>
        </w:r>
      </w:hyperlink>
      <w:r>
        <w:t xml:space="preserve">  本地交付CAD/STL</w:t>
      </w:r>
    </w:p>
    <w:p>
      <w:pPr>
        <w:pStyle w:val="Reference"/>
      </w:pPr>
      <w:r/>
      <w:hyperlink r:id="rId21" w:history="1">
        <w:r>
          <w:rPr>
            <w:color w:val="225E78"/>
            <w:u w:val="single"/>
          </w:rPr>
          <w:t>模型来源：48孔盒导入记录</w:t>
        </w:r>
      </w:hyperlink>
      <w:r>
        <w:t xml:space="preserve">  原文件、尺寸与假设</w:t>
      </w:r>
    </w:p>
    <w:p>
      <w:pPr>
        <w:pStyle w:val="Reference"/>
      </w:pPr>
      <w:r/>
      <w:hyperlink r:id="rId22" w:history="1">
        <w:r>
          <w:rPr>
            <w:color w:val="225E78"/>
            <w:u w:val="single"/>
          </w:rPr>
          <w:t>构建与启动：隔离构建脚本</w:t>
        </w:r>
      </w:hyperlink>
      <w:r>
        <w:t xml:space="preserve">  第1—52行</w:t>
      </w:r>
    </w:p>
    <w:p>
      <w:pPr>
        <w:pStyle w:val="Reference"/>
      </w:pPr>
      <w:r/>
      <w:hyperlink r:id="rId23" w:history="1">
        <w:r>
          <w:rPr>
            <w:color w:val="225E78"/>
            <w:u w:val="single"/>
          </w:rPr>
          <w:t>执行控制：双臂流程与反馈</w:t>
        </w:r>
      </w:hyperlink>
      <w:r>
        <w:t xml:space="preserve">  第331—668行</w:t>
      </w:r>
    </w:p>
    <w:p>
      <w:pPr>
        <w:pStyle w:val="Reference"/>
      </w:pPr>
      <w:r/>
      <w:hyperlink r:id="rId24" w:history="1">
        <w:r>
          <w:rPr>
            <w:color w:val="225E78"/>
            <w:u w:val="single"/>
          </w:rPr>
          <w:t>联合求解：目标插值与逆运动学</w:t>
        </w:r>
      </w:hyperlink>
      <w:r>
        <w:t xml:space="preserve">  第34—104行</w:t>
      </w:r>
    </w:p>
    <w:p>
      <w:pPr>
        <w:pStyle w:val="Reference"/>
      </w:pPr>
      <w:r/>
      <w:hyperlink r:id="rId25" w:history="1">
        <w:r>
          <w:rPr>
            <w:color w:val="225E78"/>
            <w:u w:val="single"/>
          </w:rPr>
          <w:t>转动优化：路径评分与筛选</w:t>
        </w:r>
      </w:hyperlink>
      <w:r>
        <w:t xml:space="preserve">  第25—272行</w:t>
      </w:r>
    </w:p>
    <w:p>
      <w:pPr>
        <w:pStyle w:val="Reference"/>
      </w:pPr>
      <w:r/>
      <w:hyperlink r:id="rId26" w:history="1">
        <w:r>
          <w:rPr>
            <w:color w:val="225E78"/>
            <w:u w:val="single"/>
          </w:rPr>
          <w:t>抬肘优化：约束与搬运前瞻</w:t>
        </w:r>
      </w:hyperlink>
      <w:r>
        <w:t xml:space="preserve">  第59—176行</w:t>
      </w:r>
    </w:p>
    <w:p>
      <w:pPr>
        <w:pStyle w:val="Reference"/>
      </w:pPr>
      <w:r/>
      <w:hyperlink r:id="rId27" w:history="1">
        <w:r>
          <w:rPr>
            <w:color w:val="225E78"/>
            <w:u w:val="single"/>
          </w:rPr>
          <w:t>速度基线：10月15日完整报告</w:t>
        </w:r>
      </w:hyperlink>
      <w:r>
        <w:t xml:space="preserve">  仿真179.129秒</w:t>
      </w:r>
    </w:p>
    <w:p>
      <w:pPr>
        <w:pStyle w:val="Reference"/>
      </w:pPr>
      <w:r/>
      <w:hyperlink r:id="rId28" w:history="1">
        <w:r>
          <w:rPr>
            <w:color w:val="225E78"/>
            <w:u w:val="single"/>
          </w:rPr>
          <w:t>肩腕优化：10月15日完整报告</w:t>
        </w:r>
      </w:hyperlink>
      <w:r>
        <w:t xml:space="preserve">  局部转动改善及速度边界</w:t>
      </w:r>
    </w:p>
    <w:p>
      <w:pPr>
        <w:pStyle w:val="Reference"/>
      </w:pPr>
      <w:r/>
      <w:hyperlink r:id="rId29" w:history="1">
        <w:r>
          <w:rPr>
            <w:color w:val="225E78"/>
            <w:u w:val="single"/>
          </w:rPr>
          <w:t>抬肘方案：10月16日完整报告</w:t>
        </w:r>
      </w:hyperlink>
      <w:r>
        <w:t xml:space="preserve">  完整运行、时间与录像</w:t>
      </w:r>
    </w:p>
    <w:p>
      <w:pPr>
        <w:pStyle w:val="Reference"/>
      </w:pPr>
      <w:r/>
      <w:hyperlink r:id="rId30" w:history="1">
        <w:r>
          <w:rPr>
            <w:color w:val="225E78"/>
            <w:u w:val="single"/>
          </w:rPr>
          <w:t>抬肘方案：独立复核报告</w:t>
        </w:r>
      </w:hyperlink>
      <w:r>
        <w:t xml:space="preserve">  原失败保留与复核依据</w:t>
      </w:r>
    </w:p>
    <w:sectPr w:rsidR="00FC693F" w:rsidRPr="0006063C" w:rsidSect="00034616">
      <w:footerReference w:type="default" r:id="rId9"/>
      <w:pgSz w:w="12240" w:h="15840"/>
      <w:pgMar w:top="1008" w:right="1181" w:bottom="936" w:left="1181" w:header="72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exact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  <w:snapToGrid w:val="0"/>
    </w:pPr>
    <w:rPr>
      <w:rFonts w:ascii="Noto Serif CJK SC" w:hAnsi="Noto Serif CJK SC" w:eastAsia="Noto Serif CJK SC" w:cs="Noto Serif CJK SC"/>
      <w:b w:val="0"/>
      <w:i w:val="0"/>
      <w:color w:val="000000"/>
      <w:sz w:val="23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400" w:lineRule="exact"/>
      <w:outlineLvl w:val="0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6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400" w:lineRule="exact"/>
      <w:outlineLvl w:val="1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3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60" w:lineRule="exact"/>
      <w:contextualSpacing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 w:val="0"/>
      <w:color w:val="000000"/>
      <w:spacing w:val="5"/>
      <w:kern w:val="28"/>
      <w:sz w:val="4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40" w:lineRule="exact" w:after="100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iCs/>
      <w:color w:val="000000"/>
      <w:spacing w:val="15"/>
      <w:sz w:val="22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 w:after="100"/>
      <w:snapToGrid w:val="0"/>
    </w:pPr>
    <w:rPr>
      <w:rFonts w:ascii="Noto Sans CJK SC" w:hAnsi="Noto Sans CJK SC" w:eastAsia="Noto Sans CJK SC" w:cs="Noto Sans CJK SC"/>
      <w:b w:val="0"/>
      <w:bCs/>
      <w:i w:val="0"/>
      <w:color w:val="000000"/>
      <w:sz w:val="19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300" w:lineRule="exact" w:after="0"/>
      <w:ind w:left="216"/>
      <w:snapToGrid w:val="0"/>
    </w:pPr>
    <w:rPr>
      <w:rFonts w:ascii="DejaVu Sans Mono" w:hAnsi="DejaVu Sans Mono" w:eastAsia="Noto Sans CJK SC" w:cs="DejaVu Sans Mono"/>
      <w:b w:val="0"/>
      <w:i w:val="0"/>
      <w:color w:val="000000"/>
      <w:sz w:val="20"/>
      <w:lang w:val="zh-CN" w:eastAsia="zh-CN"/>
    </w:rPr>
  </w:style>
  <w:style w:type="paragraph" w:customStyle="1" w:styleId="SourceNote">
    <w:name w:val="Source Note"/>
    <w:pPr>
      <w:spacing w:line="260" w:lineRule="exact" w:before="60" w:after="0"/>
      <w:snapToGrid w:val="0"/>
    </w:pPr>
    <w:rPr>
      <w:rFonts w:ascii="Noto Sans CJK SC" w:hAnsi="Noto Sans CJK SC" w:eastAsia="Noto Sans CJK SC" w:cs="Noto Sans CJK SC"/>
      <w:b w:val="0"/>
      <w:i w:val="0"/>
      <w:color w:val="000000"/>
      <w:sz w:val="18"/>
      <w:lang w:val="zh-CN" w:eastAsia="zh-CN"/>
    </w:rPr>
  </w:style>
  <w:style w:type="paragraph" w:customStyle="1" w:styleId="Implementation">
    <w:name w:val="Implementation"/>
    <w:pPr>
      <w:keepNext w:val="0"/>
      <w:widowControl/>
      <w:spacing w:line="340" w:lineRule="exact" w:after="100"/>
    </w:pPr>
    <w:rPr>
      <w:rFonts w:ascii="Noto Serif CJK SC" w:hAnsi="Noto Serif CJK SC" w:eastAsia="Noto Serif CJK SC" w:cs="Noto Serif CJK SC"/>
      <w:b w:val="0"/>
      <w:i w:val="0"/>
      <w:color w:val="000000"/>
      <w:sz w:val="22"/>
      <w:lang w:val="zh-CN" w:eastAsia="zh-CN"/>
      <w:lang w:val="zh-CN" w:eastAsia="zh-CN"/>
    </w:rPr>
  </w:style>
  <w:style w:type="paragraph" w:customStyle="1" w:styleId="Command">
    <w:name w:val="Command"/>
    <w:pPr>
      <w:keepNext w:val="0"/>
      <w:widowControl/>
      <w:spacing w:line="260" w:lineRule="exact" w:after="0" w:before="0"/>
      <w:ind w:left="173"/>
    </w:pPr>
    <w:rPr>
      <w:rFonts w:ascii="DejaVu Sans Mono" w:hAnsi="DejaVu Sans Mono" w:eastAsia="Noto Sans CJK SC" w:cs="DejaVu Sans Mono"/>
      <w:b w:val="0"/>
      <w:i w:val="0"/>
      <w:color w:val="000000"/>
      <w:sz w:val="18"/>
      <w:lang w:val="zh-CN" w:eastAsia="zh-CN"/>
      <w:lang w:val="zh-CN" w:eastAsia="zh-CN"/>
    </w:rPr>
  </w:style>
  <w:style w:type="paragraph" w:customStyle="1" w:styleId="Reference">
    <w:name w:val="Reference"/>
    <w:pPr>
      <w:keepNext w:val="0"/>
      <w:widowControl/>
      <w:spacing w:line="260" w:lineRule="exact" w:after="80"/>
    </w:pPr>
    <w:rPr>
      <w:rFonts w:ascii="Noto Serif CJK SC" w:hAnsi="Noto Serif CJK SC" w:eastAsia="Noto Serif CJK SC" w:cs="Noto Serif CJK SC"/>
      <w:b w:val="0"/>
      <w:i w:val="0"/>
      <w:color w:val="000000"/>
      <w:sz w:val="18"/>
      <w:lang w:val="zh-CN" w:eastAsia="zh-CN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8" Type="http://schemas.openxmlformats.org/officeDocument/2006/relationships/hyperlink" Target="https://github.com/unitreerobotics/dex1_1_service" TargetMode="External"/><Relationship Id="rId19" Type="http://schemas.openxmlformats.org/officeDocument/2006/relationships/hyperlink" Target="report_sources/source_21/view.html" TargetMode="External"/><Relationship Id="rId20" Type="http://schemas.openxmlformats.org/officeDocument/2006/relationships/hyperlink" Target="report_sources/source_19/view.html" TargetMode="External"/><Relationship Id="rId21" Type="http://schemas.openxmlformats.org/officeDocument/2006/relationships/hyperlink" Target="report_sources/source_20/view.html" TargetMode="External"/><Relationship Id="rId22" Type="http://schemas.openxmlformats.org/officeDocument/2006/relationships/hyperlink" Target="report_sources/source_05/view.html" TargetMode="External"/><Relationship Id="rId23" Type="http://schemas.openxmlformats.org/officeDocument/2006/relationships/hyperlink" Target="report_sources/source_07/view.html" TargetMode="External"/><Relationship Id="rId24" Type="http://schemas.openxmlformats.org/officeDocument/2006/relationships/hyperlink" Target="report_sources/source_03/view.html" TargetMode="External"/><Relationship Id="rId25" Type="http://schemas.openxmlformats.org/officeDocument/2006/relationships/hyperlink" Target="report_sources/source_08/view.html" TargetMode="External"/><Relationship Id="rId26" Type="http://schemas.openxmlformats.org/officeDocument/2006/relationships/hyperlink" Target="report_sources/source_06/view.html" TargetMode="External"/><Relationship Id="rId27" Type="http://schemas.openxmlformats.org/officeDocument/2006/relationships/hyperlink" Target="report_sources/source_11/view.html" TargetMode="External"/><Relationship Id="rId28" Type="http://schemas.openxmlformats.org/officeDocument/2006/relationships/hyperlink" Target="report_sources/source_10/view.html" TargetMode="External"/><Relationship Id="rId29" Type="http://schemas.openxmlformats.org/officeDocument/2006/relationships/hyperlink" Target="report_sources/source_04/view.html" TargetMode="External"/><Relationship Id="rId30" Type="http://schemas.openxmlformats.org/officeDocument/2006/relationships/hyperlink" Target="report_sources/source_09/view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2026年10月工作报告</dc:title>
  <dc:subject>离心机全流程作业与动作优化</dc:subject>
  <dc:creator/>
  <cp:keywords>机器人 月度工作报告 技术难点 工作成果 技术实施 软件来源 运行记录 算法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