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64329B">
      <w:pPr>
        <w:spacing w:after="120"/>
      </w:pPr>
      <w:r>
        <w:rPr>
          <w:rFonts w:ascii="Arial" w:hAnsi="Arial" w:eastAsia="Arial" w:cs="Arial"/>
          <w:b/>
          <w:bCs/>
          <w:sz w:val="40"/>
          <w:szCs w:val="40"/>
        </w:rPr>
        <w:t>日本房屋管理公司出入金管理系统设计 — 补充分析文档</w:t>
      </w:r>
    </w:p>
    <w:p w14:paraId="1027860A">
      <w:pPr>
        <w:spacing w:after="400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>配套原《出入金系统设计（中日双语版）》使用｜基于原设计稿、契约主数据模板、AI资金索引示例三份资料整理</w:t>
      </w:r>
    </w:p>
    <w:p w14:paraId="296FA4AE">
      <w:pPr>
        <w:pStyle w:val="2"/>
        <w:spacing w:before="280" w:after="160"/>
      </w:pPr>
      <w:r>
        <w:t>一、文档定位与来源分析</w:t>
      </w:r>
    </w:p>
    <w:p w14:paraId="445C3519">
      <w:pPr>
        <w:spacing w:after="160"/>
      </w:pPr>
      <w:r>
        <w:rPr>
          <w:rFonts w:ascii="Arial" w:hAnsi="Arial" w:eastAsia="Arial" w:cs="Arial"/>
        </w:rPr>
        <w:t>原设计文档给出了菜单结构、核心实体清单与一句话流程（上传PDF→OCR→AI解析→人工审核→生成Transaction→自动统计→家主送金→报表分析），属于骨架层。本补充文档基于另外两份实际资料，把骨架中含糊或缺失的部分具体化：</w:t>
      </w:r>
    </w:p>
    <w:tbl>
      <w:tblPr>
        <w:tblStyle w:val="11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3600"/>
        <w:gridCol w:w="2550"/>
      </w:tblGrid>
      <w:tr w14:paraId="2E048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shd w:val="clear" w:color="auto" w:fill="1F4E78"/>
            <w:vAlign w:val="center"/>
          </w:tcPr>
          <w:p w14:paraId="171E15F6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来源文件</w:t>
            </w:r>
          </w:p>
        </w:tc>
        <w:tc>
          <w:tcPr>
            <w:tcW w:w="3600" w:type="dxa"/>
            <w:shd w:val="clear" w:color="auto" w:fill="1F4E78"/>
            <w:vAlign w:val="center"/>
          </w:tcPr>
          <w:p w14:paraId="43481052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实际提供的信息</w:t>
            </w:r>
          </w:p>
        </w:tc>
        <w:tc>
          <w:tcPr>
            <w:tcW w:w="2550" w:type="dxa"/>
            <w:shd w:val="clear" w:color="auto" w:fill="1F4E78"/>
            <w:vAlign w:val="center"/>
          </w:tcPr>
          <w:p w14:paraId="2BDA1F0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补充到骨架的哪一部分</w:t>
            </w:r>
          </w:p>
        </w:tc>
      </w:tr>
      <w:tr w14:paraId="0620F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vAlign w:val="center"/>
          </w:tcPr>
          <w:p w14:paraId="7819E5E7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Test1.xlsx（契约主数据模板）</w:t>
            </w:r>
          </w:p>
        </w:tc>
        <w:tc>
          <w:tcPr>
            <w:tcW w:w="3600" w:type="dxa"/>
            <w:vAlign w:val="center"/>
          </w:tcPr>
          <w:p w14:paraId="352D8F7F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Contract/Tenant/Owner/Property/Room 的真实字段，以及「PDF转化后银行摘要名义」「标准名称」两个关键字段</w:t>
            </w:r>
          </w:p>
        </w:tc>
        <w:tc>
          <w:tcPr>
            <w:tcW w:w="2550" w:type="dxa"/>
            <w:vAlign w:val="center"/>
          </w:tcPr>
          <w:p w14:paraId="5CCFEF91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第二、三节：实体字段设计、银行摘要名义映射</w:t>
            </w:r>
          </w:p>
        </w:tc>
      </w:tr>
      <w:tr w14:paraId="0601D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vAlign w:val="center"/>
          </w:tcPr>
          <w:p w14:paraId="657BCF67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AI文档资金索引.xlsx（58页示例）</w:t>
            </w:r>
          </w:p>
        </w:tc>
        <w:tc>
          <w:tcPr>
            <w:tcW w:w="3600" w:type="dxa"/>
            <w:vAlign w:val="center"/>
          </w:tcPr>
          <w:p w14:paraId="529D8055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资金索引记录的真实字段、统计处理状态（计入/明细不重复计入/重复件不计入）、页面覆盖核对表、手续费单独统计、汇总图表</w:t>
            </w:r>
          </w:p>
        </w:tc>
        <w:tc>
          <w:tcPr>
            <w:tcW w:w="2550" w:type="dxa"/>
            <w:vAlign w:val="center"/>
          </w:tcPr>
          <w:p w14:paraId="6F848CEE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第二、四、五节：实体设计、去重状态机、完整性校验</w:t>
            </w:r>
          </w:p>
        </w:tc>
      </w:tr>
    </w:tbl>
    <w:p w14:paraId="7AA14E4D">
      <w:pPr>
        <w:pStyle w:val="2"/>
        <w:spacing w:before="280" w:after="160"/>
      </w:pPr>
      <w:r>
        <w:t>二、核心实体字段补充设计</w:t>
      </w:r>
    </w:p>
    <w:p w14:paraId="3856A658">
      <w:pPr>
        <w:spacing w:after="160"/>
      </w:pPr>
      <w:r>
        <w:rPr>
          <w:rFonts w:ascii="Arial" w:hAnsi="Arial" w:eastAsia="Arial" w:cs="Arial"/>
        </w:rPr>
        <w:t>原文档只列出了实体名称（Owner、Property、Room、Contract、Tenant、Invoice、Payment、Expense、OwnerSettlement、Document、DocumentPage、OCRResult、Attachment），未给出字段。以下按两份资料的真实数据补全，并新增两个原文档没有但实际业务必需的实体。</w:t>
      </w:r>
    </w:p>
    <w:p w14:paraId="34A042BD">
      <w:pPr>
        <w:spacing w:before="200" w:after="120"/>
      </w:pPr>
      <w:r>
        <w:rPr>
          <w:rFonts w:ascii="Arial" w:hAnsi="Arial" w:eastAsia="Arial" w:cs="Arial"/>
          <w:b/>
          <w:bCs/>
        </w:rPr>
        <w:t>2.1 Contract（契约）— 字段来自 Test1.xlsx</w:t>
      </w:r>
    </w:p>
    <w:tbl>
      <w:tblPr>
        <w:tblStyle w:val="11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600"/>
        <w:gridCol w:w="4150"/>
      </w:tblGrid>
      <w:tr w14:paraId="5440C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1F4E78"/>
            <w:vAlign w:val="center"/>
          </w:tcPr>
          <w:p w14:paraId="00877921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字段（中文）</w:t>
            </w:r>
          </w:p>
        </w:tc>
        <w:tc>
          <w:tcPr>
            <w:tcW w:w="2600" w:type="dxa"/>
            <w:shd w:val="clear" w:color="auto" w:fill="1F4E78"/>
            <w:vAlign w:val="center"/>
          </w:tcPr>
          <w:p w14:paraId="06C050FE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字段（日本語）</w:t>
            </w:r>
          </w:p>
        </w:tc>
        <w:tc>
          <w:tcPr>
            <w:tcW w:w="4150" w:type="dxa"/>
            <w:shd w:val="clear" w:color="auto" w:fill="1F4E78"/>
            <w:vAlign w:val="center"/>
          </w:tcPr>
          <w:p w14:paraId="711468C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14:paraId="15518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 w14:paraId="57EF439C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物业名称 / 房间号</w:t>
            </w:r>
          </w:p>
        </w:tc>
        <w:tc>
          <w:tcPr>
            <w:tcW w:w="2600" w:type="dxa"/>
            <w:vAlign w:val="center"/>
          </w:tcPr>
          <w:p w14:paraId="560184BA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物件名 ／ 部屋番号</w:t>
            </w:r>
          </w:p>
        </w:tc>
        <w:tc>
          <w:tcPr>
            <w:tcW w:w="4150" w:type="dxa"/>
            <w:vAlign w:val="center"/>
          </w:tcPr>
          <w:p w14:paraId="33D5BFE3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关联 Property、Room</w:t>
            </w:r>
          </w:p>
        </w:tc>
      </w:tr>
      <w:tr w14:paraId="5D6F1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 w14:paraId="1E0DA3CA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家主姓名</w:t>
            </w:r>
          </w:p>
        </w:tc>
        <w:tc>
          <w:tcPr>
            <w:tcW w:w="2600" w:type="dxa"/>
            <w:vAlign w:val="center"/>
          </w:tcPr>
          <w:p w14:paraId="6ECA551A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家主名</w:t>
            </w:r>
          </w:p>
        </w:tc>
        <w:tc>
          <w:tcPr>
            <w:tcW w:w="4150" w:type="dxa"/>
            <w:vAlign w:val="center"/>
          </w:tcPr>
          <w:p w14:paraId="42E86759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关联 Owner</w:t>
            </w:r>
          </w:p>
        </w:tc>
      </w:tr>
      <w:tr w14:paraId="64766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 w14:paraId="72072DDA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契约者姓名 / 姓名假名</w:t>
            </w:r>
          </w:p>
        </w:tc>
        <w:tc>
          <w:tcPr>
            <w:tcW w:w="2600" w:type="dxa"/>
            <w:vAlign w:val="center"/>
          </w:tcPr>
          <w:p w14:paraId="3CBE1270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契約者氏名 ／ カナ</w:t>
            </w:r>
          </w:p>
        </w:tc>
        <w:tc>
          <w:tcPr>
            <w:tcW w:w="4150" w:type="dxa"/>
            <w:vAlign w:val="center"/>
          </w:tcPr>
          <w:p w14:paraId="6A30E4B7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关联 Tenant</w:t>
            </w:r>
          </w:p>
        </w:tc>
      </w:tr>
      <w:tr w14:paraId="22B83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 w14:paraId="15526A4D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个人法人区分</w:t>
            </w:r>
          </w:p>
        </w:tc>
        <w:tc>
          <w:tcPr>
            <w:tcW w:w="2600" w:type="dxa"/>
            <w:vAlign w:val="center"/>
          </w:tcPr>
          <w:p w14:paraId="14152B8E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個人法人区分</w:t>
            </w:r>
          </w:p>
        </w:tc>
        <w:tc>
          <w:tcPr>
            <w:tcW w:w="4150" w:type="dxa"/>
            <w:vAlign w:val="center"/>
          </w:tcPr>
          <w:p w14:paraId="5969EEB7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个人 / 法人，影响发票抬头与源泉税处理</w:t>
            </w:r>
          </w:p>
        </w:tc>
      </w:tr>
      <w:tr w14:paraId="39839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 w14:paraId="0F2D6606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保证公司名称</w:t>
            </w:r>
          </w:p>
        </w:tc>
        <w:tc>
          <w:tcPr>
            <w:tcW w:w="2600" w:type="dxa"/>
            <w:vAlign w:val="center"/>
          </w:tcPr>
          <w:p w14:paraId="77C9D71A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保証会社名称</w:t>
            </w:r>
          </w:p>
        </w:tc>
        <w:tc>
          <w:tcPr>
            <w:tcW w:w="4150" w:type="dxa"/>
            <w:vAlign w:val="center"/>
          </w:tcPr>
          <w:p w14:paraId="5F4622BC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契约者未按时付款时的追偿对象</w:t>
            </w:r>
          </w:p>
        </w:tc>
      </w:tr>
      <w:tr w14:paraId="5B86D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 w14:paraId="3BF59090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租金支付方式</w:t>
            </w:r>
          </w:p>
        </w:tc>
        <w:tc>
          <w:tcPr>
            <w:tcW w:w="2600" w:type="dxa"/>
            <w:vAlign w:val="center"/>
          </w:tcPr>
          <w:p w14:paraId="763C052D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賃料等支払方法</w:t>
            </w:r>
          </w:p>
        </w:tc>
        <w:tc>
          <w:tcPr>
            <w:tcW w:w="4150" w:type="dxa"/>
            <w:vAlign w:val="center"/>
          </w:tcPr>
          <w:p w14:paraId="1CA1B9F4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如「振込入金」，决定对账渠道</w:t>
            </w:r>
          </w:p>
        </w:tc>
      </w:tr>
      <w:tr w14:paraId="0B293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 w14:paraId="76D24F78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付款周期</w:t>
            </w:r>
          </w:p>
        </w:tc>
        <w:tc>
          <w:tcPr>
            <w:tcW w:w="2600" w:type="dxa"/>
            <w:vAlign w:val="center"/>
          </w:tcPr>
          <w:p w14:paraId="5C48EF48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支払サイクル</w:t>
            </w:r>
          </w:p>
        </w:tc>
        <w:tc>
          <w:tcPr>
            <w:tcW w:w="4150" w:type="dxa"/>
            <w:vAlign w:val="center"/>
          </w:tcPr>
          <w:p w14:paraId="68337A8D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月次/季次（3个月）/自定义间隔月数，决定应收日期如何推算（见十四节）</w:t>
            </w:r>
          </w:p>
        </w:tc>
      </w:tr>
      <w:tr w14:paraId="6414E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 w14:paraId="7421FFD6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下一应收日期</w:t>
            </w:r>
          </w:p>
        </w:tc>
        <w:tc>
          <w:tcPr>
            <w:tcW w:w="2600" w:type="dxa"/>
            <w:vAlign w:val="center"/>
          </w:tcPr>
          <w:p w14:paraId="0E388EDC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次回入金予定日</w:t>
            </w:r>
          </w:p>
        </w:tc>
        <w:tc>
          <w:tcPr>
            <w:tcW w:w="4150" w:type="dxa"/>
            <w:vAlign w:val="center"/>
          </w:tcPr>
          <w:p w14:paraId="101BD841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系统按付款周期自动推算，人工可覆盖调整</w:t>
            </w:r>
          </w:p>
        </w:tc>
      </w:tr>
      <w:tr w14:paraId="5C97C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 w14:paraId="6BD8C37A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提醒提前天数</w:t>
            </w:r>
          </w:p>
        </w:tc>
        <w:tc>
          <w:tcPr>
            <w:tcW w:w="2600" w:type="dxa"/>
            <w:vAlign w:val="center"/>
          </w:tcPr>
          <w:p w14:paraId="2DF9F1E2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リマインド日数</w:t>
            </w:r>
          </w:p>
        </w:tc>
        <w:tc>
          <w:tcPr>
            <w:tcW w:w="4150" w:type="dxa"/>
            <w:vAlign w:val="center"/>
          </w:tcPr>
          <w:p w14:paraId="106475D6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该契约单独设置的到期提醒提前天数，为空则使用全局默认值</w:t>
            </w:r>
          </w:p>
        </w:tc>
      </w:tr>
      <w:tr w14:paraId="5E786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 w14:paraId="2E69ABC5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租金 / 管理费共益费</w:t>
            </w:r>
          </w:p>
        </w:tc>
        <w:tc>
          <w:tcPr>
            <w:tcW w:w="2600" w:type="dxa"/>
            <w:vAlign w:val="center"/>
          </w:tcPr>
          <w:p w14:paraId="4F2181E4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賃料 ／ 管理費・共益費</w:t>
            </w:r>
          </w:p>
        </w:tc>
        <w:tc>
          <w:tcPr>
            <w:tcW w:w="4150" w:type="dxa"/>
            <w:vAlign w:val="center"/>
          </w:tcPr>
          <w:p w14:paraId="060EEF21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月次固定收入两项，需分别统计</w:t>
            </w:r>
          </w:p>
        </w:tc>
      </w:tr>
      <w:tr w14:paraId="73A13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 w14:paraId="7ABBD75B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其他月次费用（最多3项，含项目名）</w:t>
            </w:r>
          </w:p>
        </w:tc>
        <w:tc>
          <w:tcPr>
            <w:tcW w:w="2600" w:type="dxa"/>
            <w:vAlign w:val="center"/>
          </w:tcPr>
          <w:p w14:paraId="36FA4D20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その他月次費用１〜３</w:t>
            </w:r>
          </w:p>
        </w:tc>
        <w:tc>
          <w:tcPr>
            <w:tcW w:w="4150" w:type="dxa"/>
            <w:vAlign w:val="center"/>
          </w:tcPr>
          <w:p w14:paraId="4E63AA7E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可变费用项，需支持自定义项目名</w:t>
            </w:r>
          </w:p>
        </w:tc>
      </w:tr>
      <w:tr w14:paraId="6FD77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 w14:paraId="64269F88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契约期间（年/月）/ 起止日期</w:t>
            </w:r>
          </w:p>
        </w:tc>
        <w:tc>
          <w:tcPr>
            <w:tcW w:w="2600" w:type="dxa"/>
            <w:vAlign w:val="center"/>
          </w:tcPr>
          <w:p w14:paraId="4091742A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契約期間 ／ 契約開始日・満了日</w:t>
            </w:r>
          </w:p>
        </w:tc>
        <w:tc>
          <w:tcPr>
            <w:tcW w:w="4150" w:type="dxa"/>
            <w:vAlign w:val="center"/>
          </w:tcPr>
          <w:p w14:paraId="0DAFDD8E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用于到期提醒、续约管理</w:t>
            </w:r>
          </w:p>
        </w:tc>
      </w:tr>
      <w:tr w14:paraId="06D4F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 w14:paraId="18C91909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物件邮编 / 住址 / 类型 / 种目</w:t>
            </w:r>
          </w:p>
        </w:tc>
        <w:tc>
          <w:tcPr>
            <w:tcW w:w="2600" w:type="dxa"/>
            <w:vAlign w:val="center"/>
          </w:tcPr>
          <w:p w14:paraId="35490DBB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郵便番号 ／ 住所 ／ 物件種別・種目</w:t>
            </w:r>
          </w:p>
        </w:tc>
        <w:tc>
          <w:tcPr>
            <w:tcW w:w="4150" w:type="dxa"/>
            <w:vAlign w:val="center"/>
          </w:tcPr>
          <w:p w14:paraId="49F488D6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冗余存储便于报表，主数据仍在 Property</w:t>
            </w:r>
          </w:p>
        </w:tc>
      </w:tr>
      <w:tr w14:paraId="299F7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 w14:paraId="2F1F4A73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停车场名称</w:t>
            </w:r>
          </w:p>
        </w:tc>
        <w:tc>
          <w:tcPr>
            <w:tcW w:w="2600" w:type="dxa"/>
            <w:vAlign w:val="center"/>
          </w:tcPr>
          <w:p w14:paraId="7B75AFAC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駐車場名</w:t>
            </w:r>
          </w:p>
        </w:tc>
        <w:tc>
          <w:tcPr>
            <w:tcW w:w="4150" w:type="dxa"/>
            <w:vAlign w:val="center"/>
          </w:tcPr>
          <w:p w14:paraId="663B5550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可选，关联独立的停车位契约</w:t>
            </w:r>
          </w:p>
        </w:tc>
      </w:tr>
    </w:tbl>
    <w:p w14:paraId="1D0EF7DB">
      <w:pPr>
        <w:spacing w:before="200" w:after="120"/>
      </w:pPr>
      <w:r>
        <w:rPr>
          <w:rFonts w:ascii="Arial" w:hAnsi="Arial" w:eastAsia="Arial" w:cs="Arial"/>
          <w:b/>
          <w:bCs/>
        </w:rPr>
        <w:t>2.2 银行摘要名义映射表 BankNameAlias（新增实体）</w:t>
      </w:r>
    </w:p>
    <w:p w14:paraId="4D281691">
      <w:pPr>
        <w:spacing w:after="160"/>
      </w:pPr>
      <w:r>
        <w:rPr>
          <w:rFonts w:ascii="Arial" w:hAnsi="Arial" w:eastAsia="Arial" w:cs="Arial"/>
        </w:rPr>
        <w:t>原文档没有这个实体，但 Test1.xlsx 明确证明它是刚需：银行转账摘要经常是片假名缩写或公司简称（如「カ）エム7ント令ダプリュ」），与契约者登记姓名（「株式会社M＆W」）不一致，字符串直接匹配会失败。需要一张独立的别名映射表支撑自动对账：</w:t>
      </w:r>
    </w:p>
    <w:tbl>
      <w:tblPr>
        <w:tblStyle w:val="11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50"/>
      </w:tblGrid>
      <w:tr w14:paraId="574ED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1F4E78"/>
            <w:vAlign w:val="center"/>
          </w:tcPr>
          <w:p w14:paraId="007A3F75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字段</w:t>
            </w:r>
          </w:p>
        </w:tc>
        <w:tc>
          <w:tcPr>
            <w:tcW w:w="6950" w:type="dxa"/>
            <w:shd w:val="clear" w:color="auto" w:fill="1F4E78"/>
            <w:vAlign w:val="center"/>
          </w:tcPr>
          <w:p w14:paraId="5CC5D070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14:paraId="7BA39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5D341346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银行摘要原文</w:t>
            </w:r>
          </w:p>
        </w:tc>
        <w:tc>
          <w:tcPr>
            <w:tcW w:w="6950" w:type="dxa"/>
            <w:vAlign w:val="center"/>
          </w:tcPr>
          <w:p w14:paraId="4680F4A5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从银行流水/PDF中OCR得到的原始摘要名义，允许有OCR噪音字符</w:t>
            </w:r>
          </w:p>
        </w:tc>
      </w:tr>
      <w:tr w14:paraId="63BC9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668D7F21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标准化摘要</w:t>
            </w:r>
          </w:p>
        </w:tc>
        <w:tc>
          <w:tcPr>
            <w:tcW w:w="6950" w:type="dxa"/>
            <w:vAlign w:val="center"/>
          </w:tcPr>
          <w:p w14:paraId="4AD75696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去除空格/统一半全角后的标准名称，用于模糊匹配</w:t>
            </w:r>
          </w:p>
        </w:tc>
      </w:tr>
      <w:tr w14:paraId="5F379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3CBDC361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关联契约者/家主</w:t>
            </w:r>
          </w:p>
        </w:tc>
        <w:tc>
          <w:tcPr>
            <w:tcW w:w="6950" w:type="dxa"/>
            <w:vAlign w:val="center"/>
          </w:tcPr>
          <w:p w14:paraId="71AA78CE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指向 Tenant 或 Owner，一个契约者可对应多个历史摘要变体</w:t>
            </w:r>
          </w:p>
        </w:tc>
      </w:tr>
      <w:tr w14:paraId="1463B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5C9CBC8B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匹配置信度</w:t>
            </w:r>
          </w:p>
        </w:tc>
        <w:tc>
          <w:tcPr>
            <w:tcW w:w="6950" w:type="dxa"/>
            <w:vAlign w:val="center"/>
          </w:tcPr>
          <w:p w14:paraId="0E46B4DB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自动匹配算法给出的相似度分数，低于阈值转人工审核</w:t>
            </w:r>
          </w:p>
        </w:tc>
      </w:tr>
      <w:tr w14:paraId="4EC51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1A13AE8C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确认人 / 确认时间</w:t>
            </w:r>
          </w:p>
        </w:tc>
        <w:tc>
          <w:tcPr>
            <w:tcW w:w="6950" w:type="dxa"/>
            <w:vAlign w:val="center"/>
          </w:tcPr>
          <w:p w14:paraId="2232BC82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人工审核通过后写入，之后同摘要可直接自动匹配</w:t>
            </w:r>
          </w:p>
        </w:tc>
      </w:tr>
    </w:tbl>
    <w:p w14:paraId="28129971">
      <w:pPr>
        <w:spacing w:before="200" w:after="120"/>
      </w:pPr>
      <w:r>
        <w:rPr>
          <w:rFonts w:ascii="Arial" w:hAnsi="Arial" w:eastAsia="Arial" w:cs="Arial"/>
          <w:b/>
          <w:bCs/>
        </w:rPr>
        <w:t>2.3 资金索引记录 FundIndexRecord（新增实体，对应「Transaction」的落地形态）</w:t>
      </w:r>
    </w:p>
    <w:p w14:paraId="15E25DDD">
      <w:pPr>
        <w:spacing w:after="160"/>
      </w:pPr>
      <w:r>
        <w:rPr>
          <w:rFonts w:ascii="Arial" w:hAnsi="Arial" w:eastAsia="Arial" w:cs="Arial"/>
        </w:rPr>
        <w:t>原文档流程中提到「生成Transaction」，但没有定义它的字段。AI资金索引示例给出了完整的真实字段，建议直接作为 FundIndexRecord 的正式设计：</w:t>
      </w:r>
    </w:p>
    <w:tbl>
      <w:tblPr>
        <w:tblStyle w:val="11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50"/>
      </w:tblGrid>
      <w:tr w14:paraId="31DF0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1F4E78"/>
            <w:vAlign w:val="center"/>
          </w:tcPr>
          <w:p w14:paraId="2D48445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字段</w:t>
            </w:r>
          </w:p>
        </w:tc>
        <w:tc>
          <w:tcPr>
            <w:tcW w:w="6950" w:type="dxa"/>
            <w:shd w:val="clear" w:color="auto" w:fill="1F4E78"/>
            <w:vAlign w:val="center"/>
          </w:tcPr>
          <w:p w14:paraId="70F37CB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14:paraId="0B3C2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5A90F5DF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序号</w:t>
            </w:r>
          </w:p>
        </w:tc>
        <w:tc>
          <w:tcPr>
            <w:tcW w:w="6950" w:type="dxa"/>
            <w:vAlign w:val="center"/>
          </w:tcPr>
          <w:p w14:paraId="25062617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同一批次内的流水序号</w:t>
            </w:r>
          </w:p>
        </w:tc>
      </w:tr>
      <w:tr w14:paraId="52543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66A63189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文件类型</w:t>
            </w:r>
          </w:p>
        </w:tc>
        <w:tc>
          <w:tcPr>
            <w:tcW w:w="6950" w:type="dxa"/>
            <w:vAlign w:val="center"/>
          </w:tcPr>
          <w:p w14:paraId="581D2163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如：決済金明細書兼請求書、振込結果、御請求書等，用于识别单据模板</w:t>
            </w:r>
          </w:p>
        </w:tc>
      </w:tr>
      <w:tr w14:paraId="51221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187DBBF9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资金方向</w:t>
            </w:r>
          </w:p>
        </w:tc>
        <w:tc>
          <w:tcPr>
            <w:tcW w:w="6950" w:type="dxa"/>
            <w:vAlign w:val="center"/>
          </w:tcPr>
          <w:p w14:paraId="3FD32125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入金 / 出金</w:t>
            </w:r>
          </w:p>
        </w:tc>
      </w:tr>
      <w:tr w14:paraId="4D45A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07A86A71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入方对象 / 出方对象</w:t>
            </w:r>
          </w:p>
        </w:tc>
        <w:tc>
          <w:tcPr>
            <w:tcW w:w="6950" w:type="dxa"/>
            <w:vAlign w:val="center"/>
          </w:tcPr>
          <w:p w14:paraId="23D243FD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资金流入/流出的对应主体（家主、契约者、供应商等）</w:t>
            </w:r>
          </w:p>
        </w:tc>
      </w:tr>
      <w:tr w14:paraId="67502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3622C10C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内容摘要</w:t>
            </w:r>
          </w:p>
        </w:tc>
        <w:tc>
          <w:tcPr>
            <w:tcW w:w="6950" w:type="dxa"/>
            <w:vAlign w:val="center"/>
          </w:tcPr>
          <w:p w14:paraId="036F796E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AI解析出的费用/事项说明</w:t>
            </w:r>
          </w:p>
        </w:tc>
      </w:tr>
      <w:tr w14:paraId="23962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345AFA4F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文件金额（円）</w:t>
            </w:r>
          </w:p>
        </w:tc>
        <w:tc>
          <w:tcPr>
            <w:tcW w:w="6950" w:type="dxa"/>
            <w:vAlign w:val="center"/>
          </w:tcPr>
          <w:p w14:paraId="4E0D2518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单据上记载的原始金额</w:t>
            </w:r>
          </w:p>
        </w:tc>
      </w:tr>
      <w:tr w14:paraId="1BD16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4D8BA3B2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另计手续费（円）</w:t>
            </w:r>
          </w:p>
        </w:tc>
        <w:tc>
          <w:tcPr>
            <w:tcW w:w="6950" w:type="dxa"/>
            <w:vAlign w:val="center"/>
          </w:tcPr>
          <w:p w14:paraId="612898CA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银行振込等产生的附加手续费，与文件金额分开统计</w:t>
            </w:r>
          </w:p>
        </w:tc>
      </w:tr>
      <w:tr w14:paraId="5EAF3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62E8AF13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统计金额（円）</w:t>
            </w:r>
          </w:p>
        </w:tc>
        <w:tc>
          <w:tcPr>
            <w:tcW w:w="6950" w:type="dxa"/>
            <w:vAlign w:val="center"/>
          </w:tcPr>
          <w:p w14:paraId="28DC9D4C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= 文件金额 + 另计手续费，供汇总表直接引用</w:t>
            </w:r>
          </w:p>
        </w:tc>
      </w:tr>
      <w:tr w14:paraId="5E43F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7043CB1A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日期 / 日期依据</w:t>
            </w:r>
          </w:p>
        </w:tc>
        <w:tc>
          <w:tcPr>
            <w:tcW w:w="6950" w:type="dxa"/>
            <w:vAlign w:val="center"/>
          </w:tcPr>
          <w:p w14:paraId="6B98C618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记录日期及其来源（書類日／操作日／請求日／出力日等），同一单据可能有多种日期需明确取哪个</w:t>
            </w:r>
          </w:p>
        </w:tc>
      </w:tr>
      <w:tr w14:paraId="6AB98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47BD5395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起始页 / 结束页</w:t>
            </w:r>
          </w:p>
        </w:tc>
        <w:tc>
          <w:tcPr>
            <w:tcW w:w="6950" w:type="dxa"/>
            <w:vAlign w:val="center"/>
          </w:tcPr>
          <w:p w14:paraId="3724E27E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对应原始PDF页码区间，供追溯与页面覆盖核对</w:t>
            </w:r>
          </w:p>
        </w:tc>
      </w:tr>
      <w:tr w14:paraId="10D32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4C0F6D09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统计处理状态</w:t>
            </w:r>
          </w:p>
        </w:tc>
        <w:tc>
          <w:tcPr>
            <w:tcW w:w="6950" w:type="dxa"/>
            <w:vAlign w:val="center"/>
          </w:tcPr>
          <w:p w14:paraId="13DB2A69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计入 ／ 明细不重复计入 ／ 重复件不计入（详见第三节状态机）</w:t>
            </w:r>
          </w:p>
        </w:tc>
      </w:tr>
      <w:tr w14:paraId="71AAB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3F7C33E7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确认状态</w:t>
            </w:r>
          </w:p>
        </w:tc>
        <w:tc>
          <w:tcPr>
            <w:tcW w:w="6950" w:type="dxa"/>
            <w:vAlign w:val="center"/>
          </w:tcPr>
          <w:p w14:paraId="3E4B0E05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待确认 ／ 已确认 ／ 已驳回</w:t>
            </w:r>
          </w:p>
        </w:tc>
      </w:tr>
      <w:tr w14:paraId="55F91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7EE6247B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备注</w:t>
            </w:r>
          </w:p>
        </w:tc>
        <w:tc>
          <w:tcPr>
            <w:tcW w:w="6950" w:type="dxa"/>
            <w:vAlign w:val="center"/>
          </w:tcPr>
          <w:p w14:paraId="21E8A8EB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去重依据、异常说明等自由文本</w:t>
            </w:r>
          </w:p>
        </w:tc>
      </w:tr>
    </w:tbl>
    <w:p w14:paraId="3AB0C582">
      <w:pPr>
        <w:spacing w:before="200" w:after="120"/>
      </w:pPr>
      <w:r>
        <w:rPr>
          <w:rFonts w:ascii="Arial" w:hAnsi="Arial" w:eastAsia="Arial" w:cs="Arial"/>
          <w:b/>
          <w:bCs/>
        </w:rPr>
        <w:t>2.4 页面覆盖记录 PageCoverage（新增实体，DocumentPage 的具体用途）</w:t>
      </w:r>
    </w:p>
    <w:p w14:paraId="2F0CCC13">
      <w:pPr>
        <w:spacing w:after="160"/>
      </w:pPr>
      <w:r>
        <w:rPr>
          <w:rFonts w:ascii="Arial" w:hAnsi="Arial" w:eastAsia="Arial" w:cs="Arial"/>
        </w:rPr>
        <w:t>原文档只有 DocumentPage 这个名字。实际样本证明它的真正作用是「AI解析完整性校验」——逐页确认每一页PDF是否都被读取并生成了对应的资金索引记录，防止漏页导致漏记流水。字段：PDF页码、读取状态（已读取/未读取/解析失败）、关联的资金索引记录序号（一页可能对应多条记录，一条记录也可能跨多页）、文件类型/页面说明、备注。</w:t>
      </w:r>
    </w:p>
    <w:p w14:paraId="0C485A65">
      <w:pPr>
        <w:pStyle w:val="2"/>
        <w:spacing w:before="280" w:after="160"/>
      </w:pPr>
      <w:r>
        <w:t>三、资金流水统计去重状态机（补充）</w:t>
      </w:r>
    </w:p>
    <w:p w14:paraId="3EECA75D">
      <w:pPr>
        <w:spacing w:after="160"/>
      </w:pPr>
      <w:r>
        <w:rPr>
          <w:rFonts w:ascii="Arial" w:hAnsi="Arial" w:eastAsia="Arial" w:cs="Arial"/>
        </w:rPr>
        <w:t>同一笔资金往来经常出现在不止一份单据里（例如「振込結果」总额与「物件別送金一覧」的明细合计是同一笔钱），必须有明确规则防止重复计入汇总统计。示例数据体现的规则如下，建议固化为系统的正式状态机，而非仅靠人工备注：</w:t>
      </w:r>
    </w:p>
    <w:tbl>
      <w:tblPr>
        <w:tblStyle w:val="11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4200"/>
        <w:gridCol w:w="2550"/>
      </w:tblGrid>
      <w:tr w14:paraId="43D65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1F4E78"/>
            <w:vAlign w:val="center"/>
          </w:tcPr>
          <w:p w14:paraId="12E417A5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统计处理状态</w:t>
            </w:r>
          </w:p>
        </w:tc>
        <w:tc>
          <w:tcPr>
            <w:tcW w:w="4200" w:type="dxa"/>
            <w:shd w:val="clear" w:color="auto" w:fill="1F4E78"/>
            <w:vAlign w:val="center"/>
          </w:tcPr>
          <w:p w14:paraId="167A122D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触发条件</w:t>
            </w:r>
          </w:p>
        </w:tc>
        <w:tc>
          <w:tcPr>
            <w:tcW w:w="2550" w:type="dxa"/>
            <w:shd w:val="clear" w:color="auto" w:fill="1F4E78"/>
            <w:vAlign w:val="center"/>
          </w:tcPr>
          <w:p w14:paraId="70C9ACC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是否计入汇总</w:t>
            </w:r>
          </w:p>
        </w:tc>
      </w:tr>
      <w:tr w14:paraId="070FA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 w14:paraId="52A2F4B1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计入</w:t>
            </w:r>
          </w:p>
        </w:tc>
        <w:tc>
          <w:tcPr>
            <w:tcW w:w="4200" w:type="dxa"/>
            <w:vAlign w:val="center"/>
          </w:tcPr>
          <w:p w14:paraId="0EBEF1AA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该记录是这笔资金在系统中第一次、且是最合适口径的记录（如银行振込结果的实际扣款总额）</w:t>
            </w:r>
          </w:p>
        </w:tc>
        <w:tc>
          <w:tcPr>
            <w:tcW w:w="2550" w:type="dxa"/>
            <w:vAlign w:val="center"/>
          </w:tcPr>
          <w:p w14:paraId="667935ED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是</w:t>
            </w:r>
          </w:p>
        </w:tc>
      </w:tr>
      <w:tr w14:paraId="6B0AB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 w14:paraId="16B6AB55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明细不重复计入</w:t>
            </w:r>
          </w:p>
        </w:tc>
        <w:tc>
          <w:tcPr>
            <w:tcW w:w="4200" w:type="dxa"/>
            <w:vAlign w:val="center"/>
          </w:tcPr>
          <w:p w14:paraId="6342614C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该记录是「计入」记录的下级明细拆分（如物件别送金一览是振込结果的构成明细）</w:t>
            </w:r>
          </w:p>
        </w:tc>
        <w:tc>
          <w:tcPr>
            <w:tcW w:w="2550" w:type="dxa"/>
            <w:vAlign w:val="center"/>
          </w:tcPr>
          <w:p w14:paraId="6443A364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否（仅作为追溯明细保留）</w:t>
            </w:r>
          </w:p>
        </w:tc>
      </w:tr>
      <w:tr w14:paraId="16A7E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 w14:paraId="2F6AC268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重复件不计入</w:t>
            </w:r>
          </w:p>
        </w:tc>
        <w:tc>
          <w:tcPr>
            <w:tcW w:w="4200" w:type="dxa"/>
            <w:vAlign w:val="center"/>
          </w:tcPr>
          <w:p w14:paraId="1D2ED333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同一单据在不同页面/文件中重复出现（如同一份決済金明细书被上传/解析两次）</w:t>
            </w:r>
          </w:p>
        </w:tc>
        <w:tc>
          <w:tcPr>
            <w:tcW w:w="2550" w:type="dxa"/>
            <w:vAlign w:val="center"/>
          </w:tcPr>
          <w:p w14:paraId="0DFE7226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否</w:t>
            </w:r>
          </w:p>
        </w:tc>
      </w:tr>
    </w:tbl>
    <w:p w14:paraId="3E6D9186">
      <w:pPr>
        <w:spacing w:after="160"/>
      </w:pPr>
      <w:r>
        <w:rPr>
          <w:rFonts w:ascii="Arial" w:hAnsi="Arial" w:eastAsia="Arial" w:cs="Arial"/>
        </w:rPr>
        <w:t>建议：系统在 AI解析生成记录时，先按（金额+日期+双方主体+文件类型模式）做相似度分组，自动给出初判状态，人工审核只需确认或改判，而不是从零判断，减少重复劳动。</w:t>
      </w:r>
    </w:p>
    <w:p w14:paraId="1BB27594">
      <w:pPr>
        <w:pStyle w:val="2"/>
        <w:spacing w:before="280" w:after="160"/>
      </w:pPr>
      <w:r>
        <w:t>四、银行对账自动匹配流程（补充）</w:t>
      </w:r>
    </w:p>
    <w:p w14:paraId="30892C3B">
      <w:pPr>
        <w:spacing w:after="160"/>
      </w:pPr>
      <w:r>
        <w:rPr>
          <w:rFonts w:ascii="Arial" w:hAnsi="Arial" w:eastAsia="Arial" w:cs="Arial"/>
        </w:rPr>
        <w:t>在原流程「AI解析 → 人工审核」之间，补充一个显式的自动匹配子流程：</w:t>
      </w:r>
    </w:p>
    <w:p w14:paraId="4776868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</w:rPr>
        <w:t>① 从入金记录中提取银行摘要原文</w:t>
      </w:r>
    </w:p>
    <w:p w14:paraId="7B1C6E67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</w:rPr>
        <w:t>② 查 BankNameAlias 是否已有确认过的映射 → 命中则自动关联到契约者/家主，写入置信度=100%</w:t>
      </w:r>
    </w:p>
    <w:p w14:paraId="4BCC9AA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</w:rPr>
        <w:t>③ 未命中则做模糊匹配（去除全半角差异、假名标准化后编辑距离比对），给出候选契约者列表与置信度</w:t>
      </w:r>
    </w:p>
    <w:p w14:paraId="6EDD131F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</w:rPr>
        <w:t>④ 置信度高于阈值（如95%）可自动确认；低于阈值进入人工审核队列，人工确认后自动写回 BankNameAlias，供下次直接命中</w:t>
      </w:r>
    </w:p>
    <w:p w14:paraId="2D9EA57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</w:rPr>
        <w:t>⑤ 完全无法匹配的记录标记「待人工指定」，在仪表盘中作为待办事项提醒</w:t>
      </w:r>
    </w:p>
    <w:p w14:paraId="0A44ACB4">
      <w:pPr>
        <w:pStyle w:val="2"/>
        <w:spacing w:before="280" w:after="160"/>
      </w:pPr>
      <w:r>
        <w:t>五、文档解析完整性校验（补充）</w:t>
      </w:r>
    </w:p>
    <w:p w14:paraId="42611647">
      <w:pPr>
        <w:spacing w:after="160"/>
      </w:pPr>
      <w:r>
        <w:rPr>
          <w:rFonts w:ascii="Arial" w:hAnsi="Arial" w:eastAsia="Arial" w:cs="Arial"/>
        </w:rPr>
        <w:t>对应 PageCoverage 实体的使用场景：每次批量上传PDF并完成AI解析后，系统自动生成本批次的页面覆盖检查表，逐页标记「已读取/未读取/解析失败」。任何一页处于「未读取」或「解析失败」，在批次未处理完成前，仪表盘应给出醒目告警，防止财务人员误以为全部页面都已处理而提前对账。建议将该检查作为「生成Transaction」环节的前置质检关卡，而非事后报表。</w:t>
      </w:r>
    </w:p>
    <w:p w14:paraId="080381AA">
      <w:pPr>
        <w:pStyle w:val="2"/>
        <w:spacing w:before="280" w:after="160"/>
      </w:pPr>
      <w:r>
        <w:t>六、家主送金结算规则（补充 OwnerSettlement）</w:t>
      </w:r>
    </w:p>
    <w:p w14:paraId="24E70A98">
      <w:pPr>
        <w:spacing w:after="160"/>
      </w:pPr>
      <w:r>
        <w:rPr>
          <w:rFonts w:ascii="Arial" w:hAnsi="Arial" w:eastAsia="Arial" w:cs="Arial"/>
        </w:rPr>
        <w:t>原文档只列出 OwnerSettlement 实体名称，未给出计算规则。建议明确公式与生成时点：</w:t>
      </w:r>
    </w:p>
    <w:tbl>
      <w:tblPr>
        <w:tblStyle w:val="11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5950"/>
      </w:tblGrid>
      <w:tr w14:paraId="59699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00" w:type="dxa"/>
            <w:shd w:val="clear" w:color="auto" w:fill="1F4E78"/>
            <w:vAlign w:val="center"/>
          </w:tcPr>
          <w:p w14:paraId="75F09F34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结算要素</w:t>
            </w:r>
          </w:p>
        </w:tc>
        <w:tc>
          <w:tcPr>
            <w:tcW w:w="5950" w:type="dxa"/>
            <w:shd w:val="clear" w:color="auto" w:fill="1F4E78"/>
            <w:vAlign w:val="center"/>
          </w:tcPr>
          <w:p w14:paraId="29CDDE8C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14:paraId="115D8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vAlign w:val="center"/>
          </w:tcPr>
          <w:p w14:paraId="130F9F89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结算周期内收取的租金/共益费合计</w:t>
            </w:r>
          </w:p>
        </w:tc>
        <w:tc>
          <w:tcPr>
            <w:tcW w:w="5950" w:type="dxa"/>
            <w:vAlign w:val="center"/>
          </w:tcPr>
          <w:p w14:paraId="4C9C17CE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来自该家主名下所有 Contract 在结算周期内「计入」状态的入金记录</w:t>
            </w:r>
          </w:p>
        </w:tc>
      </w:tr>
      <w:tr w14:paraId="187C9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vAlign w:val="center"/>
          </w:tcPr>
          <w:p w14:paraId="360ADFD3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扣减：管理费</w:t>
            </w:r>
          </w:p>
        </w:tc>
        <w:tc>
          <w:tcPr>
            <w:tcW w:w="5950" w:type="dxa"/>
            <w:vAlign w:val="center"/>
          </w:tcPr>
          <w:p w14:paraId="04D13E10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按契约约定的管理费比例或固定额，从收取租金中扣除</w:t>
            </w:r>
          </w:p>
        </w:tc>
      </w:tr>
      <w:tr w14:paraId="66264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vAlign w:val="center"/>
          </w:tcPr>
          <w:p w14:paraId="77DD3F21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扣减：本期发生的物业维修/其他出金</w:t>
            </w:r>
          </w:p>
        </w:tc>
        <w:tc>
          <w:tcPr>
            <w:tcW w:w="5950" w:type="dxa"/>
            <w:vAlign w:val="center"/>
          </w:tcPr>
          <w:p w14:paraId="14974F5E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关联到该物业的「计入」状态出金记录（如维修工程款）</w:t>
            </w:r>
          </w:p>
        </w:tc>
      </w:tr>
      <w:tr w14:paraId="60F33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vAlign w:val="center"/>
          </w:tcPr>
          <w:p w14:paraId="77C33725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扣减：手续费分摊</w:t>
            </w:r>
          </w:p>
        </w:tc>
        <w:tc>
          <w:tcPr>
            <w:tcW w:w="5950" w:type="dxa"/>
            <w:vAlign w:val="center"/>
          </w:tcPr>
          <w:p w14:paraId="0F1C937C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银行振込等手续费，按约定由家主或公司承担</w:t>
            </w:r>
          </w:p>
        </w:tc>
      </w:tr>
      <w:tr w14:paraId="08DA4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vAlign w:val="center"/>
          </w:tcPr>
          <w:p w14:paraId="33783712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滞纳/欠款处理</w:t>
            </w:r>
          </w:p>
        </w:tc>
        <w:tc>
          <w:tcPr>
            <w:tcW w:w="5950" w:type="dxa"/>
            <w:vAlign w:val="center"/>
          </w:tcPr>
          <w:p w14:paraId="3F43A5A8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契约者未按期付款的部分不计入本期送金基数，需在结算单中单独列出滞纳明细</w:t>
            </w:r>
          </w:p>
        </w:tc>
      </w:tr>
      <w:tr w14:paraId="38775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vAlign w:val="center"/>
          </w:tcPr>
          <w:p w14:paraId="182D76B2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家主送金金额</w:t>
            </w:r>
          </w:p>
        </w:tc>
        <w:tc>
          <w:tcPr>
            <w:tcW w:w="5950" w:type="dxa"/>
            <w:vAlign w:val="center"/>
          </w:tcPr>
          <w:p w14:paraId="29DC9496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= 收取合计 − 管理费 − 本期出金 − 手续费分摊（滞纳部分单列不参与计算）</w:t>
            </w:r>
          </w:p>
        </w:tc>
      </w:tr>
    </w:tbl>
    <w:p w14:paraId="3FE027E5">
      <w:pPr>
        <w:spacing w:after="160"/>
      </w:pPr>
      <w:r>
        <w:rPr>
          <w:rFonts w:ascii="Arial" w:hAnsi="Arial" w:eastAsia="Arial" w:cs="Arial"/>
        </w:rPr>
        <w:t>建议 OwnerSettlement 生成后仍为「草稿」状态，需人工审核确认金额无误才转为「已送金」，审核通过后才允许生成对应的银行振込指示，避免自动计算错误直接触发实际转账。</w:t>
      </w:r>
    </w:p>
    <w:p w14:paraId="4E353E29">
      <w:pPr>
        <w:pStyle w:val="2"/>
        <w:spacing w:before="280" w:after="160"/>
      </w:pPr>
      <w:r>
        <w:t>七、权限角色设计（原文档缺失，建议补充）</w:t>
      </w:r>
    </w:p>
    <w:tbl>
      <w:tblPr>
        <w:tblStyle w:val="11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000"/>
        <w:gridCol w:w="4350"/>
      </w:tblGrid>
      <w:tr w14:paraId="7FB98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1F4E78"/>
            <w:vAlign w:val="center"/>
          </w:tcPr>
          <w:p w14:paraId="2E35C225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角色</w:t>
            </w:r>
          </w:p>
        </w:tc>
        <w:tc>
          <w:tcPr>
            <w:tcW w:w="3000" w:type="dxa"/>
            <w:shd w:val="clear" w:color="auto" w:fill="1F4E78"/>
            <w:vAlign w:val="center"/>
          </w:tcPr>
          <w:p w14:paraId="4979B303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可访问菜单</w:t>
            </w:r>
          </w:p>
        </w:tc>
        <w:tc>
          <w:tcPr>
            <w:tcW w:w="4350" w:type="dxa"/>
            <w:shd w:val="clear" w:color="auto" w:fill="1F4E78"/>
            <w:vAlign w:val="center"/>
          </w:tcPr>
          <w:p w14:paraId="626585AF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关键操作权限</w:t>
            </w:r>
          </w:p>
        </w:tc>
      </w:tr>
      <w:tr w14:paraId="786DE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vAlign w:val="center"/>
          </w:tcPr>
          <w:p w14:paraId="5F91ACDD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系统管理员</w:t>
            </w:r>
          </w:p>
        </w:tc>
        <w:tc>
          <w:tcPr>
            <w:tcW w:w="3000" w:type="dxa"/>
            <w:vAlign w:val="center"/>
          </w:tcPr>
          <w:p w14:paraId="63990B62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全部菜单</w:t>
            </w:r>
          </w:p>
        </w:tc>
        <w:tc>
          <w:tcPr>
            <w:tcW w:w="4350" w:type="dxa"/>
            <w:vAlign w:val="center"/>
          </w:tcPr>
          <w:p w14:paraId="2AF17D0C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用户/角色管理、系统参数配置</w:t>
            </w:r>
          </w:p>
        </w:tc>
      </w:tr>
      <w:tr w14:paraId="0FD2A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vAlign w:val="center"/>
          </w:tcPr>
          <w:p w14:paraId="73BC44AA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财务人员</w:t>
            </w:r>
          </w:p>
        </w:tc>
        <w:tc>
          <w:tcPr>
            <w:tcW w:w="3000" w:type="dxa"/>
            <w:vAlign w:val="center"/>
          </w:tcPr>
          <w:p w14:paraId="04AE5117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会計管理、文档中心、统计分析</w:t>
            </w:r>
          </w:p>
        </w:tc>
        <w:tc>
          <w:tcPr>
            <w:tcW w:w="4350" w:type="dxa"/>
            <w:vAlign w:val="center"/>
          </w:tcPr>
          <w:p w14:paraId="5A8178F1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审核资金索引记录、确认家主送金、处理银行对账异常</w:t>
            </w:r>
          </w:p>
        </w:tc>
      </w:tr>
      <w:tr w14:paraId="36B24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vAlign w:val="center"/>
          </w:tcPr>
          <w:p w14:paraId="458E1E2A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物业管理员</w:t>
            </w:r>
          </w:p>
        </w:tc>
        <w:tc>
          <w:tcPr>
            <w:tcW w:w="3000" w:type="dxa"/>
            <w:vAlign w:val="center"/>
          </w:tcPr>
          <w:p w14:paraId="5D97CB7A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物件管理、契約管理</w:t>
            </w:r>
          </w:p>
        </w:tc>
        <w:tc>
          <w:tcPr>
            <w:tcW w:w="4350" w:type="dxa"/>
            <w:vAlign w:val="center"/>
          </w:tcPr>
          <w:p w14:paraId="2C435E4D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维护物业/房间/契约主数据，不可修改资金记录</w:t>
            </w:r>
          </w:p>
        </w:tc>
      </w:tr>
      <w:tr w14:paraId="70487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vAlign w:val="center"/>
          </w:tcPr>
          <w:p w14:paraId="46244326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审核员（数据质检）</w:t>
            </w:r>
          </w:p>
        </w:tc>
        <w:tc>
          <w:tcPr>
            <w:tcW w:w="3000" w:type="dxa"/>
            <w:vAlign w:val="center"/>
          </w:tcPr>
          <w:p w14:paraId="0637B3F2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文档中心（含页面覆盖检查）</w:t>
            </w:r>
          </w:p>
        </w:tc>
        <w:tc>
          <w:tcPr>
            <w:tcW w:w="4350" w:type="dxa"/>
            <w:vAlign w:val="center"/>
          </w:tcPr>
          <w:p w14:paraId="5A0FD946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确认AI解析结果、判定统计处理状态、处理去重</w:t>
            </w:r>
          </w:p>
        </w:tc>
      </w:tr>
      <w:tr w14:paraId="04E9F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vAlign w:val="center"/>
          </w:tcPr>
          <w:p w14:paraId="7134ED94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家主（只读门户）</w:t>
            </w:r>
          </w:p>
        </w:tc>
        <w:tc>
          <w:tcPr>
            <w:tcW w:w="3000" w:type="dxa"/>
            <w:vAlign w:val="center"/>
          </w:tcPr>
          <w:p w14:paraId="15430015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本人相关的统计分析、送金记录</w:t>
            </w:r>
          </w:p>
        </w:tc>
        <w:tc>
          <w:tcPr>
            <w:tcW w:w="4350" w:type="dxa"/>
            <w:vAlign w:val="center"/>
          </w:tcPr>
          <w:p w14:paraId="32511792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查看本人物业的收支与送金明细，不可编辑</w:t>
            </w:r>
          </w:p>
        </w:tc>
      </w:tr>
    </w:tbl>
    <w:p w14:paraId="74DD747F">
      <w:pPr>
        <w:pStyle w:val="2"/>
        <w:spacing w:before="280" w:after="160"/>
      </w:pPr>
      <w:r>
        <w:t>八、非功能性需求补充</w:t>
      </w:r>
    </w:p>
    <w:p w14:paraId="4CCDFDE3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</w:rPr>
        <w:t>审计日志：任何人工修改资金索引记录的「统计处理状态」「文件金额」「资金方向」都需记录修改人、修改时间、修改前后值（原文档汇总表脚注已提到会自动更新，但未提审计追溯，建议补充）</w:t>
      </w:r>
    </w:p>
    <w:p w14:paraId="7C7BCEA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</w:rPr>
        <w:t>数据安全：契约者/家主的姓名、住址、银行相关信息属敏感个人信息，需按日本个人信息保护法（个人情報保護法）要求做访问权限隔离和留痕</w:t>
      </w:r>
    </w:p>
    <w:p w14:paraId="2865755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</w:rPr>
        <w:t>多语言：界面与报表需同时支持中文/日本语，字段命名已在原文档给出双语对照示例，建议数据库层面统一用英文字段名（如原文档 5 节），前端按用户语言偏好切换显示</w:t>
      </w:r>
    </w:p>
    <w:p w14:paraId="2380A76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</w:rPr>
        <w:t>原始文件可追溯：每条资金索引记录都应可一键跳转回原始PDF对应页码（示例中「原始文件」列已体现此设计意图，建议在系统中做成超链接而非文字提示）</w:t>
      </w:r>
    </w:p>
    <w:p w14:paraId="3D8556BD">
      <w:pPr>
        <w:pStyle w:val="2"/>
        <w:spacing w:before="280" w:after="160"/>
      </w:pPr>
      <w:r>
        <w:t>九、补充后的完整业务流程</w:t>
      </w:r>
    </w:p>
    <w:p w14:paraId="7DA64B28">
      <w:pPr>
        <w:spacing w:after="160"/>
      </w:pPr>
      <w:r>
        <w:rPr>
          <w:rFonts w:ascii="Arial" w:hAnsi="Arial" w:eastAsia="Arial" w:cs="Arial"/>
        </w:rPr>
        <w:t>在原一句话流程基础上，补充分支与质检节点：</w:t>
      </w:r>
    </w:p>
    <w:p w14:paraId="5DECC29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</w:rPr>
        <w:t>1. 上传PDF（支持批量，58页级别）</w:t>
      </w:r>
    </w:p>
    <w:p w14:paraId="700ED152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</w:rPr>
        <w:t>2. OCR识别 + AI解析 → 初步生成资金索引记录草稿（含初判统计处理状态）</w:t>
      </w:r>
    </w:p>
    <w:p w14:paraId="3879764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</w:rPr>
        <w:t>3. 页面覆盖校验 → 若有未读取/解析失败页面，阻断进入下一步并告警</w:t>
      </w:r>
    </w:p>
    <w:p w14:paraId="6143FB1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</w:rPr>
        <w:t>4. 银行摘要自动匹配（命中 BankNameAlias 则自动关联契约者/家主；未命中进入人工匹配队列）</w:t>
      </w:r>
    </w:p>
    <w:p w14:paraId="5DD02A3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</w:rPr>
        <w:t>5. 人工审核 → 确认/改判统计处理状态、确认对账结果</w:t>
      </w:r>
    </w:p>
    <w:p w14:paraId="13BF5662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</w:rPr>
        <w:t>6. 生成正式资金索引记录（FundIndexRecord），计入汇总统计</w:t>
      </w:r>
    </w:p>
    <w:p w14:paraId="03EDE26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</w:rPr>
        <w:t>7. 按结算周期生成 OwnerSettlement 草稿 → 人工复核 → 确认送金</w:t>
      </w:r>
    </w:p>
    <w:p w14:paraId="284490E3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</w:rPr>
        <w:t>8. 报表分析：按原文档「统计分析」菜单展示收支、家主收益、空置率等，另需新增「去重/异常处理台账」「银行对账未匹配清单」两类运营报表</w:t>
      </w:r>
    </w:p>
    <w:p w14:paraId="67F189EA">
      <w:pPr>
        <w:pStyle w:val="2"/>
        <w:spacing w:before="280" w:after="160"/>
      </w:pPr>
      <w:r>
        <w:t>十一、出入金异常提醒与人工纠错机制</w:t>
      </w:r>
    </w:p>
    <w:p w14:paraId="10504469">
      <w:pPr>
        <w:spacing w:after="160"/>
      </w:pPr>
      <w:r>
        <w:rPr>
          <w:rFonts w:ascii="Arial" w:hAnsi="Arial" w:eastAsia="Arial" w:cs="Arial"/>
        </w:rPr>
        <w:t>这是本次补充的核心功能之一：系统需要主动告诉管理公司「哪些房子当前存在出入金异常」，而不是等财务人员自己翻台账发现。以下补充异常判定规则、提醒机制与纠错操作流程。</w:t>
      </w:r>
    </w:p>
    <w:p w14:paraId="52C3B552">
      <w:pPr>
        <w:spacing w:before="200" w:after="120"/>
      </w:pPr>
      <w:r>
        <w:rPr>
          <w:rFonts w:ascii="Arial" w:hAnsi="Arial" w:eastAsia="Arial" w:cs="Arial"/>
          <w:b/>
          <w:bCs/>
        </w:rPr>
        <w:t>11.1 新增实体 AnomalyAlert（出入金异常提醒）</w:t>
      </w:r>
    </w:p>
    <w:tbl>
      <w:tblPr>
        <w:tblStyle w:val="11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50"/>
      </w:tblGrid>
      <w:tr w14:paraId="258BF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1F4E78"/>
            <w:vAlign w:val="center"/>
          </w:tcPr>
          <w:p w14:paraId="7A47BE1E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字段</w:t>
            </w:r>
          </w:p>
        </w:tc>
        <w:tc>
          <w:tcPr>
            <w:tcW w:w="6950" w:type="dxa"/>
            <w:shd w:val="clear" w:color="auto" w:fill="1F4E78"/>
            <w:vAlign w:val="center"/>
          </w:tcPr>
          <w:p w14:paraId="4B3BFA5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14:paraId="0C014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22A49C10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关联物业/房间</w:t>
            </w:r>
          </w:p>
        </w:tc>
        <w:tc>
          <w:tcPr>
            <w:tcW w:w="6950" w:type="dxa"/>
            <w:vAlign w:val="center"/>
          </w:tcPr>
          <w:p w14:paraId="0CE3EDE4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指向 Property / Room，是异常最终归属的落地对象</w:t>
            </w:r>
          </w:p>
        </w:tc>
      </w:tr>
      <w:tr w14:paraId="14BF5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080B3867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关联契约</w:t>
            </w:r>
          </w:p>
        </w:tc>
        <w:tc>
          <w:tcPr>
            <w:tcW w:w="6950" w:type="dxa"/>
            <w:vAlign w:val="center"/>
          </w:tcPr>
          <w:p w14:paraId="29E76723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指向 Contract，便于追溯到契约者/家主</w:t>
            </w:r>
          </w:p>
        </w:tc>
      </w:tr>
      <w:tr w14:paraId="29BDA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10AA8DB3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异常类型</w:t>
            </w:r>
          </w:p>
        </w:tc>
        <w:tc>
          <w:tcPr>
            <w:tcW w:w="6950" w:type="dxa"/>
            <w:vAlign w:val="center"/>
          </w:tcPr>
          <w:p w14:paraId="7C15A338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见 11.2 分类，如「未匹配入金」「逾期未付」「金额不符」「疑似重复计入」等</w:t>
            </w:r>
          </w:p>
        </w:tc>
      </w:tr>
      <w:tr w14:paraId="15770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2F62C5D2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关联资金索引记录</w:t>
            </w:r>
          </w:p>
        </w:tc>
        <w:tc>
          <w:tcPr>
            <w:tcW w:w="6950" w:type="dxa"/>
            <w:vAlign w:val="center"/>
          </w:tcPr>
          <w:p w14:paraId="736A789B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指向触发本条异常的一条或多条 FundIndexRecord</w:t>
            </w:r>
          </w:p>
        </w:tc>
      </w:tr>
      <w:tr w14:paraId="0C370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7C8F54A7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异常金额/差额</w:t>
            </w:r>
          </w:p>
        </w:tc>
        <w:tc>
          <w:tcPr>
            <w:tcW w:w="6950" w:type="dxa"/>
            <w:vAlign w:val="center"/>
          </w:tcPr>
          <w:p w14:paraId="120C09D3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有金额性质的异常需记录差额，便于统计分析中按金额排序</w:t>
            </w:r>
          </w:p>
        </w:tc>
      </w:tr>
      <w:tr w14:paraId="7BCDA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0FEAA217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异常发生日期</w:t>
            </w:r>
          </w:p>
        </w:tc>
        <w:tc>
          <w:tcPr>
            <w:tcW w:w="6950" w:type="dxa"/>
            <w:vAlign w:val="center"/>
          </w:tcPr>
          <w:p w14:paraId="0B3A55B3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该异常对应的账期/交易日期</w:t>
            </w:r>
          </w:p>
        </w:tc>
      </w:tr>
      <w:tr w14:paraId="2B0EF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3D986D86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严重程度</w:t>
            </w:r>
          </w:p>
        </w:tc>
        <w:tc>
          <w:tcPr>
            <w:tcW w:w="6950" w:type="dxa"/>
            <w:vAlign w:val="center"/>
          </w:tcPr>
          <w:p w14:paraId="08104E5F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高/中/低，用于业务概览中的颜色分级与排序</w:t>
            </w:r>
          </w:p>
        </w:tc>
      </w:tr>
      <w:tr w14:paraId="31396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3750249E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处理状态</w:t>
            </w:r>
          </w:p>
        </w:tc>
        <w:tc>
          <w:tcPr>
            <w:tcW w:w="6950" w:type="dxa"/>
            <w:vAlign w:val="center"/>
          </w:tcPr>
          <w:p w14:paraId="1AE5F3F1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待处理 ／ 已勾选待纠错 ／ 纠错中 ／ 已解决 ／ 已忽略（详见 11.4 状态机）</w:t>
            </w:r>
          </w:p>
        </w:tc>
      </w:tr>
      <w:tr w14:paraId="541B7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4490C213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处理人 / 处理时间</w:t>
            </w:r>
          </w:p>
        </w:tc>
        <w:tc>
          <w:tcPr>
            <w:tcW w:w="6950" w:type="dxa"/>
            <w:vAlign w:val="center"/>
          </w:tcPr>
          <w:p w14:paraId="6DD9A6DF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人工纠错操作的留痕</w:t>
            </w:r>
          </w:p>
        </w:tc>
      </w:tr>
      <w:tr w14:paraId="0D9F9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18C0996D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处理说明</w:t>
            </w:r>
          </w:p>
        </w:tc>
        <w:tc>
          <w:tcPr>
            <w:tcW w:w="6950" w:type="dxa"/>
            <w:vAlign w:val="center"/>
          </w:tcPr>
          <w:p w14:paraId="0AE3F7C2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纠错时填写的原因/结论，供审计追溯</w:t>
            </w:r>
          </w:p>
        </w:tc>
      </w:tr>
    </w:tbl>
    <w:p w14:paraId="66DFE9AF">
      <w:pPr>
        <w:spacing w:before="200" w:after="120"/>
      </w:pPr>
      <w:r>
        <w:rPr>
          <w:rFonts w:ascii="Arial" w:hAnsi="Arial" w:eastAsia="Arial" w:cs="Arial"/>
          <w:b/>
          <w:bCs/>
        </w:rPr>
        <w:t>11.2 异常类型判定规则</w:t>
      </w:r>
    </w:p>
    <w:tbl>
      <w:tblPr>
        <w:tblStyle w:val="11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50"/>
      </w:tblGrid>
      <w:tr w14:paraId="149C3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1F4E78"/>
            <w:vAlign w:val="center"/>
          </w:tcPr>
          <w:p w14:paraId="5ACEB64D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异常类型</w:t>
            </w:r>
          </w:p>
        </w:tc>
        <w:tc>
          <w:tcPr>
            <w:tcW w:w="6950" w:type="dxa"/>
            <w:shd w:val="clear" w:color="auto" w:fill="1F4E78"/>
            <w:vAlign w:val="center"/>
          </w:tcPr>
          <w:p w14:paraId="69E5D540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判定规则（系统自动检测）</w:t>
            </w:r>
          </w:p>
        </w:tc>
      </w:tr>
      <w:tr w14:paraId="00C7A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4799C9CB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未匹配入金</w:t>
            </w:r>
          </w:p>
        </w:tc>
        <w:tc>
          <w:tcPr>
            <w:tcW w:w="6950" w:type="dxa"/>
            <w:vAlign w:val="center"/>
          </w:tcPr>
          <w:p w14:paraId="3A5016FE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银行摘要自动匹配（见第四节）置信度低于阈值且超过设定时限（如3个工作日）仍未人工确认</w:t>
            </w:r>
          </w:p>
        </w:tc>
      </w:tr>
      <w:tr w14:paraId="59E5A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6FA38FB9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逾期未付/滞纳</w:t>
            </w:r>
          </w:p>
        </w:tc>
        <w:tc>
          <w:tcPr>
            <w:tcW w:w="6950" w:type="dxa"/>
            <w:vAlign w:val="center"/>
          </w:tcPr>
          <w:p w14:paraId="500F7ED9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按契约「付款周期」推算出的下一应收日期已过，且超出该异常类型的宽限天数（可配置，见十四节），仍没有对应「计入」状态的入金记录</w:t>
            </w:r>
          </w:p>
        </w:tc>
      </w:tr>
      <w:tr w14:paraId="2487F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18224FEF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金额不符</w:t>
            </w:r>
          </w:p>
        </w:tc>
        <w:tc>
          <w:tcPr>
            <w:tcW w:w="6950" w:type="dxa"/>
            <w:vAlign w:val="center"/>
          </w:tcPr>
          <w:p w14:paraId="2A8951FA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实际入金金额与契约约定的应收金额（租金+管理费+其他月次费用）不一致，且差额超出该异常类型的容差阈值（可配置，见十四节）</w:t>
            </w:r>
          </w:p>
        </w:tc>
      </w:tr>
      <w:tr w14:paraId="15999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3770224F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疑似重复计入</w:t>
            </w:r>
          </w:p>
        </w:tc>
        <w:tc>
          <w:tcPr>
            <w:tcW w:w="6950" w:type="dxa"/>
            <w:vAlign w:val="center"/>
          </w:tcPr>
          <w:p w14:paraId="64B4BAD5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第三节去重状态机中被标记「计入」的两条记录，金额、日期、双方主体高度相似但未被人工判定为同一笔</w:t>
            </w:r>
          </w:p>
        </w:tc>
      </w:tr>
      <w:tr w14:paraId="5ECAB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7D93AE85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页面解析不完整</w:t>
            </w:r>
          </w:p>
        </w:tc>
        <w:tc>
          <w:tcPr>
            <w:tcW w:w="6950" w:type="dxa"/>
            <w:vAlign w:val="center"/>
          </w:tcPr>
          <w:p w14:paraId="6C7AB9DA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对应批次的 PageCoverage 存在「未读取/解析失败」页面，导致该物业当期数据可能不完整</w:t>
            </w:r>
          </w:p>
        </w:tc>
      </w:tr>
      <w:tr w14:paraId="598BD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4B25A2B8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家主送金异常</w:t>
            </w:r>
          </w:p>
        </w:tc>
        <w:tc>
          <w:tcPr>
            <w:tcW w:w="6950" w:type="dxa"/>
            <w:vAlign w:val="center"/>
          </w:tcPr>
          <w:p w14:paraId="0FA3DEA7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OwnerSettlement 结算金额为负数，或与上期波动超过设定百分比阈值</w:t>
            </w:r>
          </w:p>
        </w:tc>
      </w:tr>
    </w:tbl>
    <w:p w14:paraId="3C4E658B">
      <w:pPr>
        <w:spacing w:before="200" w:after="120"/>
      </w:pPr>
      <w:r>
        <w:rPr>
          <w:rFonts w:ascii="Arial" w:hAnsi="Arial" w:eastAsia="Arial" w:cs="Arial"/>
          <w:b/>
          <w:bCs/>
        </w:rPr>
        <w:t>11.3 提醒触发与展示</w:t>
      </w:r>
    </w:p>
    <w:p w14:paraId="56432E8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</w:rPr>
        <w:t>检测时机：每次「生成正式资金索引记录」「结算周期结束生成 OwnerSettlement」两个节点后自动跑一遍异常检测，不需要人工手动触发</w:t>
      </w:r>
    </w:p>
    <w:p w14:paraId="79FB1F0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</w:rPr>
        <w:t>提醒入口：仪表盘顶部常驻「异常待处理」提醒条，展示未处理异常总数；点击后跳转到异常清单页，清单页支持按物业/异常类型/严重程度筛选</w:t>
      </w:r>
    </w:p>
    <w:p w14:paraId="19C21E5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</w:rPr>
        <w:t>提醒方式：系统内提醒为必须项；是否需要企业微信/邮件等外部推送，建议作为可配置项，视管理公司实际使用习惯决定</w:t>
      </w:r>
    </w:p>
    <w:p w14:paraId="7E98817F">
      <w:pPr>
        <w:spacing w:before="200" w:after="120"/>
      </w:pPr>
      <w:r>
        <w:rPr>
          <w:rFonts w:ascii="Arial" w:hAnsi="Arial" w:eastAsia="Arial" w:cs="Arial"/>
          <w:b/>
          <w:bCs/>
        </w:rPr>
        <w:t>11.4 人工纠错操作流程（勾选后纠错）</w:t>
      </w:r>
    </w:p>
    <w:p w14:paraId="3389F14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</w:rPr>
        <w:t>① 异常清单页以列表形式展示每条异常，每行前置复选框，支持单条勾选或批量勾选（如同一物业的多条同类异常一次性处理）</w:t>
      </w:r>
    </w:p>
    <w:p w14:paraId="208FCE1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</w:rPr>
        <w:t>② 勾选后点击「标记处理」，异常状态从「待处理」变为「已勾选待纠错」，此时系统按异常类型给出对应的纠错入口（如「未匹配入金」直接跳转到该笔资金索引记录的银行对账匹配界面；「金额不符」跳转到契约详情核对页）</w:t>
      </w:r>
    </w:p>
    <w:p w14:paraId="50C7A4A3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</w:rPr>
        <w:t>③ 纠错完成后需选择处理结论：「已解决」（同时要求填写处理说明，如实际是手续费差异，非真实异常）或「已忽略」（需填写忽略原因，如家主已口头同意延期，仍需留痕）</w:t>
      </w:r>
    </w:p>
    <w:p w14:paraId="0506A5F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</w:rPr>
        <w:t>④ 处理结论提交后写入 AnomalyAlert 的处理人/处理时间/处理说明字段，供后续审计与统计分析中的「异常处理时效」指标使用</w:t>
      </w:r>
    </w:p>
    <w:p w14:paraId="7986B032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</w:rPr>
        <w:t>⑤ 若纠错过程中实际修改了 FundIndexRecord 或 Contract 的数据（如更正了统计处理状态），需在异常记录中关联标注具体改动了哪些字段，避免「处理完了但看不出改了什么」</w:t>
      </w:r>
    </w:p>
    <w:p w14:paraId="41074962">
      <w:pPr>
        <w:pStyle w:val="2"/>
        <w:spacing w:before="280" w:after="160"/>
      </w:pPr>
      <w:r>
        <w:t>十二、业务概览统计与异常可视化设计</w:t>
      </w:r>
    </w:p>
    <w:p w14:paraId="54BB0218">
      <w:pPr>
        <w:spacing w:after="160"/>
      </w:pPr>
      <w:r>
        <w:rPr>
          <w:rFonts w:ascii="Arial" w:hAnsi="Arial" w:eastAsia="Arial" w:cs="Arial"/>
        </w:rPr>
        <w:t>对应原文档「仪表盘（ダッシュボード）」菜单，补充具体的统计口径与异常数据的可视化交互方式。</w:t>
      </w:r>
    </w:p>
    <w:p w14:paraId="52744F8D">
      <w:pPr>
        <w:spacing w:before="200" w:after="120"/>
      </w:pPr>
      <w:r>
        <w:rPr>
          <w:rFonts w:ascii="Arial" w:hAnsi="Arial" w:eastAsia="Arial" w:cs="Arial"/>
          <w:b/>
          <w:bCs/>
        </w:rPr>
        <w:t>12.1 概览统计卡片（正常经营数据）</w:t>
      </w:r>
    </w:p>
    <w:tbl>
      <w:tblPr>
        <w:tblStyle w:val="11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4200"/>
        <w:gridCol w:w="2550"/>
      </w:tblGrid>
      <w:tr w14:paraId="43146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1F4E78"/>
            <w:vAlign w:val="center"/>
          </w:tcPr>
          <w:p w14:paraId="69EA630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统计卡片</w:t>
            </w:r>
          </w:p>
        </w:tc>
        <w:tc>
          <w:tcPr>
            <w:tcW w:w="4200" w:type="dxa"/>
            <w:shd w:val="clear" w:color="auto" w:fill="1F4E78"/>
            <w:vAlign w:val="center"/>
          </w:tcPr>
          <w:p w14:paraId="1C51848D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统计口径</w:t>
            </w:r>
          </w:p>
        </w:tc>
        <w:tc>
          <w:tcPr>
            <w:tcW w:w="2550" w:type="dxa"/>
            <w:shd w:val="clear" w:color="auto" w:fill="1F4E78"/>
            <w:vAlign w:val="center"/>
          </w:tcPr>
          <w:p w14:paraId="617DC4D1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点击跳转</w:t>
            </w:r>
          </w:p>
        </w:tc>
      </w:tr>
      <w:tr w14:paraId="4D8AD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 w14:paraId="2685C8F7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本期入金总额 / 出金总额</w:t>
            </w:r>
          </w:p>
        </w:tc>
        <w:tc>
          <w:tcPr>
            <w:tcW w:w="4200" w:type="dxa"/>
            <w:vAlign w:val="center"/>
          </w:tcPr>
          <w:p w14:paraId="08B654AF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= 汇总表口径，仅统计「计入」状态的 FundIndexRecord，按当前筛选周期汇总</w:t>
            </w:r>
          </w:p>
        </w:tc>
        <w:tc>
          <w:tcPr>
            <w:tcW w:w="2550" w:type="dxa"/>
            <w:vAlign w:val="center"/>
          </w:tcPr>
          <w:p w14:paraId="0263C02B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跳转到资金索引记录清单，预筛选对应方向与周期</w:t>
            </w:r>
          </w:p>
        </w:tc>
      </w:tr>
      <w:tr w14:paraId="34A2C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 w14:paraId="0A722F01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家主送金合计</w:t>
            </w:r>
          </w:p>
        </w:tc>
        <w:tc>
          <w:tcPr>
            <w:tcW w:w="4200" w:type="dxa"/>
            <w:vAlign w:val="center"/>
          </w:tcPr>
          <w:p w14:paraId="1610998D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本期状态为「已送金」的 OwnerSettlement 金额合计</w:t>
            </w:r>
          </w:p>
        </w:tc>
        <w:tc>
          <w:tcPr>
            <w:tcW w:w="2550" w:type="dxa"/>
            <w:vAlign w:val="center"/>
          </w:tcPr>
          <w:p w14:paraId="63DCA04F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跳转到家主送金清单</w:t>
            </w:r>
          </w:p>
        </w:tc>
      </w:tr>
      <w:tr w14:paraId="6E9CF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 w14:paraId="0C8B4EFC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在管物业数 / 空置房间数</w:t>
            </w:r>
          </w:p>
        </w:tc>
        <w:tc>
          <w:tcPr>
            <w:tcW w:w="4200" w:type="dxa"/>
            <w:vAlign w:val="center"/>
          </w:tcPr>
          <w:p w14:paraId="39782CE0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= Property/Room 主数据统计，空置率单独计算</w:t>
            </w:r>
          </w:p>
        </w:tc>
        <w:tc>
          <w:tcPr>
            <w:tcW w:w="2550" w:type="dxa"/>
            <w:vAlign w:val="center"/>
          </w:tcPr>
          <w:p w14:paraId="07A73B3D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跳转到物件管理清单，预筛选空置状态</w:t>
            </w:r>
          </w:p>
        </w:tc>
      </w:tr>
      <w:tr w14:paraId="5E4B3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vAlign w:val="center"/>
          </w:tcPr>
          <w:p w14:paraId="582F4A17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待处理异常数</w:t>
            </w:r>
          </w:p>
        </w:tc>
        <w:tc>
          <w:tcPr>
            <w:tcW w:w="4200" w:type="dxa"/>
            <w:vAlign w:val="center"/>
          </w:tcPr>
          <w:p w14:paraId="160223A0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AnomalyAlert 中处理状态为「待处理」「已勾选待纠错」的合计</w:t>
            </w:r>
          </w:p>
        </w:tc>
        <w:tc>
          <w:tcPr>
            <w:tcW w:w="2550" w:type="dxa"/>
            <w:vAlign w:val="center"/>
          </w:tcPr>
          <w:p w14:paraId="4C8D2E27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跳转到异常清单页</w:t>
            </w:r>
          </w:p>
        </w:tc>
      </w:tr>
    </w:tbl>
    <w:p w14:paraId="4C4AA872">
      <w:pPr>
        <w:spacing w:before="200" w:after="120"/>
      </w:pPr>
      <w:r>
        <w:rPr>
          <w:rFonts w:ascii="Arial" w:hAnsi="Arial" w:eastAsia="Arial" w:cs="Arial"/>
          <w:b/>
          <w:bCs/>
        </w:rPr>
        <w:t>12.2 异常数据块状展示（重点补充）</w:t>
      </w:r>
    </w:p>
    <w:p w14:paraId="6015D515">
      <w:pPr>
        <w:spacing w:after="160"/>
      </w:pPr>
      <w:r>
        <w:rPr>
          <w:rFonts w:ascii="Arial" w:hAnsi="Arial" w:eastAsia="Arial" w:cs="Arial"/>
        </w:rPr>
        <w:t>异常数据不与正常统计卡片混排，单独用色块区域展示，遵循「可查看、可分析、可点击跳转」三个要求：</w:t>
      </w:r>
    </w:p>
    <w:p w14:paraId="70EB980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</w:rPr>
        <w:t>可查看：每个异常类型一个色块，块内直接显示该类型当前数量与涉及金额，颜色按严重程度分级（红=高、橙=中、灰黄=低），一眼看出哪类问题最紧急</w:t>
      </w:r>
    </w:p>
    <w:p w14:paraId="4542729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</w:rPr>
        <w:t>可分析：点击色块展开该类型异常在物业维度的分布（如「逾期未付」按物业列出各自的逾期笔数与金额，支持按金额/笔数排序），而非只给一个总数</w:t>
      </w:r>
    </w:p>
    <w:p w14:paraId="32B83C97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</w:rPr>
        <w:t>可点击跳转：色块展开列表中的每一行（每个物业/每条异常）都可直接点击跳转到 11.4 描述的对应纠错入口，实现「概览发现问题 → 一键进入处理」的闭环，不需要用户先记住异常再手动去别的菜单查找</w:t>
      </w:r>
    </w:p>
    <w:p w14:paraId="2B4E7CA2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</w:rPr>
        <w:t>色块区域与统计卡片区域联动：切换概览页顶部的时间范围筛选器时，两个区域应同步刷新，保持口径一致</w:t>
      </w:r>
    </w:p>
    <w:p w14:paraId="77E4863B">
      <w:pPr>
        <w:spacing w:before="200" w:after="120"/>
      </w:pPr>
      <w:r>
        <w:rPr>
          <w:rFonts w:ascii="Arial" w:hAnsi="Arial" w:eastAsia="Arial" w:cs="Arial"/>
          <w:b/>
          <w:bCs/>
        </w:rPr>
        <w:t>12.3 图表补充</w:t>
      </w:r>
    </w:p>
    <w:p w14:paraId="7A680355">
      <w:pPr>
        <w:spacing w:after="160"/>
      </w:pPr>
      <w:r>
        <w:rPr>
          <w:rFonts w:ascii="Arial" w:hAnsi="Arial" w:eastAsia="Arial" w:cs="Arial"/>
        </w:rPr>
        <w:t>原「汇总」示例已有入金/出金动态图表，建议在业务概览中补充：</w:t>
      </w:r>
    </w:p>
    <w:p w14:paraId="4A30026F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</w:rPr>
        <w:t>异常趋势折线图：按周/月展示待处理异常数量的变化，用于观察异常是在积压还是在被及时消化</w:t>
      </w:r>
    </w:p>
    <w:p w14:paraId="4985EB1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</w:rPr>
        <w:t>异常处理时效指标：从异常生成到「已解决」的平均处理天数，帮助管理层评估财务人员的响应速度</w:t>
      </w:r>
    </w:p>
    <w:p w14:paraId="504183B6">
      <w:pPr>
        <w:pStyle w:val="2"/>
        <w:spacing w:before="280" w:after="160"/>
      </w:pPr>
      <w:r>
        <w:t>十四、付款周期动态化与异常阈值可配置设计</w:t>
      </w:r>
    </w:p>
    <w:p w14:paraId="1F3D4296">
      <w:pPr>
        <w:spacing w:after="160"/>
      </w:pPr>
      <w:r>
        <w:rPr>
          <w:rFonts w:ascii="Arial" w:hAnsi="Arial" w:eastAsia="Arial" w:cs="Arial"/>
        </w:rPr>
        <w:t>对应确认结果：租金可以按月付/季付（3个月）等不同周期收取，且周期本身可按契约调整；到期提醒时间（如到期前一周）也需要可以手动设置，而不是全系统写死一个值。以下补充「应收日期怎么推算」「阈值和提醒天数在哪一级配置、谁覆盖谁」两个具体设计。</w:t>
      </w:r>
    </w:p>
    <w:p w14:paraId="260AB86C">
      <w:pPr>
        <w:spacing w:before="200" w:after="120"/>
      </w:pPr>
      <w:r>
        <w:rPr>
          <w:rFonts w:ascii="Arial" w:hAnsi="Arial" w:eastAsia="Arial" w:cs="Arial"/>
          <w:b/>
          <w:bCs/>
        </w:rPr>
        <w:t>14.1 应收日期推算规则（对应 Contract 的「付款周期」字段）</w:t>
      </w:r>
    </w:p>
    <w:tbl>
      <w:tblPr>
        <w:tblStyle w:val="11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50"/>
      </w:tblGrid>
      <w:tr w14:paraId="391C0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1F4E78"/>
            <w:vAlign w:val="center"/>
          </w:tcPr>
          <w:p w14:paraId="63C74C7B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付款周期</w:t>
            </w:r>
          </w:p>
        </w:tc>
        <w:tc>
          <w:tcPr>
            <w:tcW w:w="6950" w:type="dxa"/>
            <w:shd w:val="clear" w:color="auto" w:fill="1F4E78"/>
            <w:vAlign w:val="center"/>
          </w:tcPr>
          <w:p w14:paraId="1390A7DC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推算规则</w:t>
            </w:r>
          </w:p>
        </w:tc>
      </w:tr>
      <w:tr w14:paraId="2C1F3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688F5A29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月次（每月一付）</w:t>
            </w:r>
          </w:p>
        </w:tc>
        <w:tc>
          <w:tcPr>
            <w:tcW w:w="6950" w:type="dxa"/>
            <w:vAlign w:val="center"/>
          </w:tcPr>
          <w:p w14:paraId="624FC38C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下一应收日 = 上一应收日 + 1个月，取契约约定的「每月第几日」为收款日</w:t>
            </w:r>
          </w:p>
        </w:tc>
      </w:tr>
      <w:tr w14:paraId="14B17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309D32CC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季次（3个月一付）</w:t>
            </w:r>
          </w:p>
        </w:tc>
        <w:tc>
          <w:tcPr>
            <w:tcW w:w="6950" w:type="dxa"/>
            <w:vAlign w:val="center"/>
          </w:tcPr>
          <w:p w14:paraId="74D6DFB4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下一应收日 = 上一应收日 + 3个月，金额为对应3个月合计（而非单月租金），检测逾期时按此合计金额比对</w:t>
            </w:r>
          </w:p>
        </w:tc>
      </w:tr>
      <w:tr w14:paraId="5CDDA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2FD6ABF4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自定义周期</w:t>
            </w:r>
          </w:p>
        </w:tc>
        <w:tc>
          <w:tcPr>
            <w:tcW w:w="6950" w:type="dxa"/>
            <w:vAlign w:val="center"/>
          </w:tcPr>
          <w:p w14:paraId="703FE396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由物业管理员在契约中直接填写间隔月数（如2个月、6个月），系统按同样逻辑滚动推算，不限定固定选项</w:t>
            </w:r>
          </w:p>
        </w:tc>
      </w:tr>
      <w:tr w14:paraId="33814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27CD62B4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周期变更</w:t>
            </w:r>
          </w:p>
        </w:tc>
        <w:tc>
          <w:tcPr>
            <w:tcW w:w="6950" w:type="dxa"/>
            <w:vAlign w:val="center"/>
          </w:tcPr>
          <w:p w14:paraId="50CF922A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允许在契约存续期间调整付款周期（如租户申请从月付改季付），变更后从下一个应收日期起按新周期推算，历史记录不回溯改写</w:t>
            </w:r>
          </w:p>
        </w:tc>
      </w:tr>
    </w:tbl>
    <w:p w14:paraId="68197B3E">
      <w:pPr>
        <w:spacing w:after="160"/>
      </w:pPr>
      <w:r>
        <w:rPr>
          <w:rFonts w:ascii="Arial" w:hAnsi="Arial" w:eastAsia="Arial" w:cs="Arial"/>
        </w:rPr>
        <w:t>每次生成正式入金记录、确认「计入」状态后，系统自动把该契约的「下一应收日期」往后推算一次，作为下一轮逾期检测的基准，不需要人工每期手动填写。</w:t>
      </w:r>
    </w:p>
    <w:p w14:paraId="1EEB1816">
      <w:pPr>
        <w:spacing w:before="200" w:after="120"/>
      </w:pPr>
      <w:r>
        <w:rPr>
          <w:rFonts w:ascii="Arial" w:hAnsi="Arial" w:eastAsia="Arial" w:cs="Arial"/>
          <w:b/>
          <w:bCs/>
        </w:rPr>
        <w:t>14.2 新增实体 AnomalyThresholdConfig（异常阈值配置）</w:t>
      </w:r>
    </w:p>
    <w:p w14:paraId="574C3615">
      <w:pPr>
        <w:spacing w:after="160"/>
      </w:pPr>
      <w:r>
        <w:rPr>
          <w:rFonts w:ascii="Arial" w:hAnsi="Arial" w:eastAsia="Arial" w:cs="Arial"/>
        </w:rPr>
        <w:t>阈值和提醒天数都不写死在代码里，做成两级配置：系统全局默认值 + 按契约/物业单独覆盖。契约上未单独设置时，自动沿用全局默认。</w:t>
      </w:r>
    </w:p>
    <w:tbl>
      <w:tblPr>
        <w:tblStyle w:val="11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50"/>
      </w:tblGrid>
      <w:tr w14:paraId="46D57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1F4E78"/>
            <w:vAlign w:val="center"/>
          </w:tcPr>
          <w:p w14:paraId="2FE1930B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字段</w:t>
            </w:r>
          </w:p>
        </w:tc>
        <w:tc>
          <w:tcPr>
            <w:tcW w:w="6950" w:type="dxa"/>
            <w:shd w:val="clear" w:color="auto" w:fill="1F4E78"/>
            <w:vAlign w:val="center"/>
          </w:tcPr>
          <w:p w14:paraId="76CD90E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14:paraId="5A5B1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737244CD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适用范围</w:t>
            </w:r>
          </w:p>
        </w:tc>
        <w:tc>
          <w:tcPr>
            <w:tcW w:w="6950" w:type="dxa"/>
            <w:vAlign w:val="center"/>
          </w:tcPr>
          <w:p w14:paraId="5DDC45F5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全局默认 ／ 指定物业 ／ 指定契约，三选一；契约级优先于物业级，物业级优先于全局默认</w:t>
            </w:r>
          </w:p>
        </w:tc>
      </w:tr>
      <w:tr w14:paraId="1BCA8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467D3763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异常类型</w:t>
            </w:r>
          </w:p>
        </w:tc>
        <w:tc>
          <w:tcPr>
            <w:tcW w:w="6950" w:type="dxa"/>
            <w:vAlign w:val="center"/>
          </w:tcPr>
          <w:p w14:paraId="4CC7367D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对应十一节的异常类型（逾期未付、金额不符、家主送金异常等），每种类型单独配置阈值</w:t>
            </w:r>
          </w:p>
        </w:tc>
      </w:tr>
      <w:tr w14:paraId="5457A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66E713DE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宽限天数</w:t>
            </w:r>
          </w:p>
        </w:tc>
        <w:tc>
          <w:tcPr>
            <w:tcW w:w="6950" w:type="dxa"/>
            <w:vAlign w:val="center"/>
          </w:tcPr>
          <w:p w14:paraId="56339FA6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逾期未付类使用：到期日后允许多少天不算异常，超过才生成 AnomalyAlert（例：全局默认7天，某契约可单独设为3天）</w:t>
            </w:r>
          </w:p>
        </w:tc>
      </w:tr>
      <w:tr w14:paraId="20E05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7F1E693F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金额容差</w:t>
            </w:r>
          </w:p>
        </w:tc>
        <w:tc>
          <w:tcPr>
            <w:tcW w:w="6950" w:type="dxa"/>
            <w:vAlign w:val="center"/>
          </w:tcPr>
          <w:p w14:paraId="72F2F875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金额不符类使用：允许的差额范围（绝对值或百分比），超出才判定异常</w:t>
            </w:r>
          </w:p>
        </w:tc>
      </w:tr>
      <w:tr w14:paraId="67E0F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36E7F6B2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提醒提前天数</w:t>
            </w:r>
          </w:p>
        </w:tc>
        <w:tc>
          <w:tcPr>
            <w:tcW w:w="6950" w:type="dxa"/>
            <w:vAlign w:val="center"/>
          </w:tcPr>
          <w:p w14:paraId="487B321B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到期提醒使用：到期前多少天开始提醒（例：默认提前7天，某高风险契约可单独设为提前14天）</w:t>
            </w:r>
          </w:p>
        </w:tc>
      </w:tr>
      <w:tr w14:paraId="49A95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03FF693F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生效状态</w:t>
            </w:r>
          </w:p>
        </w:tc>
        <w:tc>
          <w:tcPr>
            <w:tcW w:w="6950" w:type="dxa"/>
            <w:vAlign w:val="center"/>
          </w:tcPr>
          <w:p w14:paraId="5B3742EB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启用/停用，停用后该级配置不生效，回退到上一级默认值</w:t>
            </w:r>
          </w:p>
        </w:tc>
      </w:tr>
      <w:tr w14:paraId="3D9CE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Align w:val="center"/>
          </w:tcPr>
          <w:p w14:paraId="0CCD40C8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修改人/修改时间</w:t>
            </w:r>
          </w:p>
        </w:tc>
        <w:tc>
          <w:tcPr>
            <w:tcW w:w="6950" w:type="dxa"/>
            <w:vAlign w:val="center"/>
          </w:tcPr>
          <w:p w14:paraId="5A973667">
            <w:r>
              <w:rPr>
                <w:rFonts w:ascii="Arial" w:hAnsi="Arial" w:eastAsia="Arial" w:cs="Arial"/>
                <w:b w:val="0"/>
                <w:bCs w:val="0"/>
                <w:color w:val="000000"/>
                <w:sz w:val="19"/>
                <w:szCs w:val="19"/>
              </w:rPr>
              <w:t>留痕，避免阈值被随意改动却无人知晓</w:t>
            </w:r>
          </w:p>
        </w:tc>
      </w:tr>
    </w:tbl>
    <w:p w14:paraId="76CBC866">
      <w:pPr>
        <w:spacing w:before="200" w:after="120"/>
      </w:pPr>
      <w:r>
        <w:rPr>
          <w:rFonts w:ascii="Arial" w:hAnsi="Arial" w:eastAsia="Arial" w:cs="Arial"/>
          <w:b/>
          <w:bCs/>
        </w:rPr>
        <w:t>14.3 提醒时间的展示与操作</w:t>
      </w:r>
    </w:p>
    <w:p w14:paraId="0F9B87F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</w:rPr>
        <w:t>到期提醒不等于「逾期异常」：到期前提醒（如到期前一周）是「即将到期，提前关注」，属于正常提示；超过宽限天数仍未收到款才升级为 AnomalyAlert 里的「逾期未付」异常，两者在仪表盘上建议分开展示，避免把还没到期的正常提醒也算进异常统计里</w:t>
      </w:r>
    </w:p>
    <w:p w14:paraId="7339067A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</w:rPr>
        <w:t>契约详情页需提供「提醒提前天数」的单独输入框，允许物业管理员针对某个契约手动调整（如信用记录不好的契约者提前14天提醒，长期稳定的契约者可以维持默认7天）</w:t>
      </w:r>
    </w:p>
    <w:p w14:paraId="6BF383A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</w:rPr>
        <w:t>系统参数设置菜单（属系统管理员权限）中提供全局默认值的统一配置入口，一次修改，所有未单独设置的契约自动生效</w:t>
      </w:r>
    </w:p>
    <w:p w14:paraId="357C9DC2">
      <w:pPr>
        <w:pStyle w:val="2"/>
        <w:spacing w:before="280" w:after="160"/>
      </w:pPr>
      <w:r>
        <w:t>十五、后续建议确认的问题</w:t>
      </w:r>
    </w:p>
    <w:p w14:paraId="2E178D4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</w:rPr>
        <w:t>手续费默认由家主承担还是公司承担？是否所有契约统一，还是按契约单独约定？</w:t>
      </w:r>
      <w:r>
        <w:rPr>
          <w:rFonts w:hint="eastAsia" w:ascii="Arial" w:hAnsi="Arial" w:eastAsia="宋体" w:cs="Arial"/>
          <w:lang w:val="en-US" w:eastAsia="zh-CN"/>
        </w:rPr>
        <w:t xml:space="preserve"> </w:t>
      </w:r>
      <w:r>
        <w:rPr>
          <w:rFonts w:ascii="Arial" w:hAnsi="Arial" w:eastAsia="Arial" w:cs="Arial"/>
        </w:rPr>
        <w:t>按契约单独约定</w:t>
      </w:r>
      <w:r>
        <w:rPr>
          <w:rFonts w:hint="eastAsia" w:ascii="Arial" w:hAnsi="Arial" w:eastAsia="宋体" w:cs="Arial"/>
          <w:lang w:eastAsia="zh-CN"/>
        </w:rPr>
        <w:t>以便灵活适配不同租赁场景下的商业条款。系统需在契约创建或编辑界面增加「手续费承担方」选项，支持选择「家主」、「公司」或「协商确定」，并关联相应的财务结算逻辑。若选择协商确定，还需提供备注字段记录具体比例或金额。此外，建议在财务报表</w:t>
      </w:r>
      <w:bookmarkStart w:id="0" w:name="_GoBack"/>
      <w:bookmarkEnd w:id="0"/>
      <w:r>
        <w:rPr>
          <w:rFonts w:hint="eastAsia" w:ascii="Arial" w:hAnsi="Arial" w:eastAsia="宋体" w:cs="Arial"/>
          <w:lang w:eastAsia="zh-CN"/>
        </w:rPr>
        <w:t>中增加按承担方分类的统计维度，便于财务部门精准核算成本与收入，确保账务清晰透明，减少后续对账纠纷。</w:t>
      </w:r>
    </w:p>
    <w:p w14:paraId="3B4BC61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</w:rPr>
        <w:t>家主只读门户是否需要独立登录入口（如短信/邮箱验证码），还是仅限公司内部人员代查询？</w:t>
      </w:r>
      <w:r>
        <w:rPr>
          <w:rFonts w:hint="eastAsia" w:ascii="Arial" w:hAnsi="Arial" w:eastAsia="宋体" w:cs="Arial"/>
          <w:lang w:val="en-US" w:eastAsia="zh-CN"/>
        </w:rPr>
        <w:t xml:space="preserve">    目前制作内部提醒</w:t>
      </w:r>
    </w:p>
    <w:p w14:paraId="0C6FC52A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</w:rPr>
        <w:t>异常提醒是否需要外部推送（邮件/企业微信/短信），还是仅限系统内提醒即可？</w:t>
      </w:r>
    </w:p>
    <w:p w14:paraId="3E3E2610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</w:rPr>
        <w:t>金额不符的容差阈值，是按固定金额（如100円以内）还是按百分比（如1%以内）设定更合适？</w:t>
      </w:r>
      <w:r>
        <w:rPr>
          <w:rFonts w:hint="eastAsia" w:ascii="Arial" w:hAnsi="Arial" w:eastAsia="宋体" w:cs="Arial"/>
          <w:lang w:val="en-US" w:eastAsia="zh-CN"/>
        </w:rPr>
        <w:t xml:space="preserve">  不能有差错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1F93CE3"/>
    <w:rsid w:val="17F0510B"/>
    <w:rsid w:val="1FD71884"/>
    <w:rsid w:val="22411A5B"/>
    <w:rsid w:val="33F04807"/>
    <w:rsid w:val="61AA4C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1075</Words>
  <Characters>1314</Characters>
  <TotalTime>0</TotalTime>
  <ScaleCrop>false</ScaleCrop>
  <LinksUpToDate>false</LinksUpToDate>
  <CharactersWithSpaces>1355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2026-07-13T08:21:00Z</dcterms:created>
  <dc:creator>Un-named</dc:creator>
  <cp:lastModifiedBy>云端漫步</cp:lastModifiedBy>
  <dcterms:modified xsi:type="dcterms:W3CDTF">2026-07-13T08:28:00Z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eyJoZGlkIjoiMmZmYTIzNTAyZjI4OGFiYjcwMTRiNWNmODJlNDMwMmEiLCJ1c2VySWQiOiIyNDQzNDQ2MDkifQ==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24DB2F556A1748B68554B9C4B8EB18E3_12</vt:lpwstr>
  </property>
</Properties>
</file>