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C2C9E">
      <w:pPr>
        <w:spacing w:before="2400"/>
      </w:pPr>
    </w:p>
    <w:p w14:paraId="448E4FDA">
      <w:pPr>
        <w:spacing w:after="200"/>
        <w:jc w:val="center"/>
      </w:pPr>
      <w:r>
        <w:rPr>
          <w:rFonts w:ascii="微软雅黑" w:hAnsi="微软雅黑" w:eastAsia="微软雅黑"/>
          <w:color w:val="595959"/>
          <w:sz w:val="28"/>
          <w:szCs w:val="28"/>
        </w:rPr>
        <w:t>TRAE AI 创造力大赛 · 社会公益赛道</w:t>
      </w:r>
    </w:p>
    <w:p w14:paraId="71AC1BB9">
      <w:pPr>
        <w:spacing w:after="120"/>
        <w:jc w:val="center"/>
      </w:pPr>
      <w:r>
        <w:rPr>
          <w:rFonts w:ascii="微软雅黑" w:hAnsi="微软雅黑" w:eastAsia="微软雅黑"/>
          <w:b/>
          <w:bCs/>
          <w:color w:val="1F4E79"/>
          <w:sz w:val="56"/>
          <w:szCs w:val="56"/>
        </w:rPr>
        <w:t>创 意 方 案 文 档</w:t>
      </w:r>
    </w:p>
    <w:p w14:paraId="5D2960E9">
      <w:pPr>
        <w:spacing w:after="600"/>
        <w:jc w:val="center"/>
      </w:pPr>
      <w:r>
        <w:rPr>
          <w:rFonts w:ascii="微软雅黑" w:hAnsi="微软雅黑" w:eastAsia="微软雅黑"/>
          <w:color w:val="2E75B6"/>
          <w:sz w:val="36"/>
          <w:szCs w:val="36"/>
        </w:rPr>
        <w:t>—— 听障者手语数字分身 ——</w:t>
      </w:r>
    </w:p>
    <w:p w14:paraId="0E4DBD2E">
      <w:pPr>
        <w:spacing w:after="200"/>
        <w:jc w:val="center"/>
      </w:pPr>
      <w:r>
        <w:rPr>
          <w:rFonts w:ascii="微软雅黑" w:hAnsi="微软雅黑" w:eastAsia="微软雅黑"/>
          <w:i/>
          <w:iCs/>
          <w:color w:val="595959"/>
          <w:sz w:val="30"/>
          <w:szCs w:val="30"/>
        </w:rPr>
        <w:t>让无声的表达，拥有可见的存在</w:t>
      </w:r>
    </w:p>
    <w:p w14:paraId="6375FC8F">
      <w:pPr>
        <w:spacing w:before="1600"/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1"/>
        <w:gridCol w:w="6325"/>
      </w:tblGrid>
      <w:tr w14:paraId="4F55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6FB1B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项目名称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A3B8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手语数字分身（SignTwin）</w:t>
            </w:r>
          </w:p>
        </w:tc>
      </w:tr>
      <w:tr w14:paraId="73F2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D3E89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参赛赛道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10604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社会公益赛道</w:t>
            </w:r>
          </w:p>
        </w:tc>
      </w:tr>
      <w:tr w14:paraId="588F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51BE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文档版本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9E6DA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V1.0</w:t>
            </w:r>
          </w:p>
        </w:tc>
      </w:tr>
      <w:tr w14:paraId="294E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64DC8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编制日期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733F6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2026 年 6 月</w:t>
            </w:r>
          </w:p>
        </w:tc>
      </w:tr>
    </w:tbl>
    <w:p w14:paraId="4FAA3401">
      <w:r>
        <w:br w:type="page"/>
      </w:r>
    </w:p>
    <w:p w14:paraId="70AA9FE3">
      <w:pPr>
        <w:spacing w:after="240"/>
      </w:pPr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目  录</w:t>
      </w:r>
    </w:p>
    <w:p w14:paraId="6109AE8F"/>
    <w:sdt>
      <w:sdtPr>
        <w:alias w:val="目录"/>
        <w:id w:val="147471729"/>
      </w:sdtPr>
      <w:sdtContent>
        <w:p w14:paraId="1D0988C6"/>
        <w:sdt>
          <w:sdtPr>
            <w:rPr>
              <w:rFonts w:ascii="宋体" w:hAnsi="宋体" w:eastAsia="宋体"/>
              <w:color w:val="333333"/>
              <w:sz w:val="21"/>
              <w:szCs w:val="24"/>
            </w:rPr>
            <w:id w:val="147471553"/>
            <w15:color w:val="DBDBDB"/>
            <w:docPartObj>
              <w:docPartGallery w:val="Table of Contents"/>
              <w:docPartUnique/>
            </w:docPartObj>
          </w:sdtPr>
          <w:sdtContent>
            <w:p w14:paraId="0FCB3725">
              <w:pPr>
                <w:spacing w:before="0" w:beforeLines="0" w:after="0" w:afterLines="0" w:line="240" w:lineRule="auto"/>
                <w:ind w:left="0" w:leftChars="0" w:right="0" w:rightChars="0" w:firstLine="0" w:firstLineChars="0"/>
                <w:jc w:val="center"/>
              </w:pPr>
              <w:r>
                <w:rPr>
                  <w:rFonts w:ascii="宋体" w:hAnsi="宋体" w:eastAsia="宋体"/>
                  <w:sz w:val="21"/>
                </w:rPr>
                <w:t>目录</w:t>
              </w:r>
            </w:p>
            <w:p w14:paraId="6CD709D2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TOC \o "1-2" \h \u </w:instrText>
              </w:r>
              <w:r>
                <w:fldChar w:fldCharType="separate"/>
              </w:r>
              <w:r>
                <w:fldChar w:fldCharType="begin"/>
              </w:r>
              <w:r>
                <w:instrText xml:space="preserve"> HYPERLINK \l _Toc16550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一、项目概述</w:t>
              </w:r>
              <w:r>
                <w:tab/>
              </w:r>
              <w:r>
                <w:fldChar w:fldCharType="begin"/>
              </w:r>
              <w:r>
                <w:instrText xml:space="preserve"> PAGEREF _Toc16550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003CF140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_Toc4235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1.1 项目背景</w:t>
              </w:r>
              <w:r>
                <w:tab/>
              </w:r>
              <w:r>
                <w:fldChar w:fldCharType="begin"/>
              </w:r>
              <w:r>
                <w:instrText xml:space="preserve"> PAGEREF _Toc4235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4E4D6280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_Toc19987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1.2 项目定位</w:t>
              </w:r>
              <w:r>
                <w:tab/>
              </w:r>
              <w:r>
                <w:fldChar w:fldCharType="begin"/>
              </w:r>
              <w:r>
                <w:instrText xml:space="preserve"> PAGEREF _Toc19987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589DC96B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_Toc6021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1.3 核心价值主张</w:t>
              </w:r>
              <w:r>
                <w:tab/>
              </w:r>
              <w:r>
                <w:fldChar w:fldCharType="begin"/>
              </w:r>
              <w:r>
                <w:instrText xml:space="preserve"> PAGEREF _Toc6021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394F2680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_Toc22524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二、痛点分析</w:t>
              </w:r>
              <w:r>
                <w:tab/>
              </w:r>
              <w:r>
                <w:fldChar w:fldCharType="begin"/>
              </w:r>
              <w:r>
                <w:instrText xml:space="preserve"> PAGEREF _Toc22524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49ED4311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_Toc5988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2.1 听障人群沟通现状</w:t>
              </w:r>
              <w:r>
                <w:tab/>
              </w:r>
              <w:r>
                <w:fldChar w:fldCharType="begin"/>
              </w:r>
              <w:r>
                <w:instrText xml:space="preserve"> PAGEREF _Toc5988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685EC21F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_Toc4408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2.2 现有方案的不足</w:t>
              </w:r>
              <w:r>
                <w:tab/>
              </w:r>
              <w:r>
                <w:fldChar w:fldCharType="begin"/>
              </w:r>
              <w:r>
                <w:instrText xml:space="preserve"> PAGEREF _Toc4408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432B64D2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_Toc3141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2.3 核心洞察</w:t>
              </w:r>
              <w:r>
                <w:tab/>
              </w:r>
              <w:r>
                <w:fldChar w:fldCharType="begin"/>
              </w:r>
              <w:r>
                <w:instrText xml:space="preserve"> PAGEREF _Toc3141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093CEE79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_Toc28527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三、产品方案</w:t>
              </w:r>
              <w:r>
                <w:tab/>
              </w:r>
              <w:r>
                <w:fldChar w:fldCharType="begin"/>
              </w:r>
              <w:r>
                <w:instrText xml:space="preserve"> PAGEREF _Toc28527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43915397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_Toc24368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3.1 产品架构</w:t>
              </w:r>
              <w:r>
                <w:tab/>
              </w:r>
              <w:r>
                <w:fldChar w:fldCharType="begin"/>
              </w:r>
              <w:r>
                <w:instrText xml:space="preserve"> PAGEREF _Toc24368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306D6DFF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_Toc16797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3.2 核心功能模块</w:t>
              </w:r>
              <w:r>
                <w:tab/>
              </w:r>
              <w:r>
                <w:fldChar w:fldCharType="begin"/>
              </w:r>
              <w:r>
                <w:instrText xml:space="preserve"> PAGEREF _Toc16797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688DA53D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_Toc19707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3.3 使用场景闭环</w:t>
              </w:r>
              <w:r>
                <w:tab/>
              </w:r>
              <w:r>
                <w:fldChar w:fldCharType="begin"/>
              </w:r>
              <w:r>
                <w:instrText xml:space="preserve"> PAGEREF _Toc19707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758061B3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_Toc31712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四、技术架构</w:t>
              </w:r>
              <w:r>
                <w:tab/>
              </w:r>
              <w:r>
                <w:fldChar w:fldCharType="begin"/>
              </w:r>
              <w:r>
                <w:instrText xml:space="preserve"> PAGEREF _Toc31712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fldChar w:fldCharType="end"/>
              </w:r>
            </w:p>
            <w:p w14:paraId="543A602E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_Toc355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4.1 整体技术栈</w:t>
              </w:r>
              <w:r>
                <w:tab/>
              </w:r>
              <w:r>
                <w:fldChar w:fldCharType="begin"/>
              </w:r>
              <w:r>
                <w:instrText xml:space="preserve"> PAGEREF _Toc355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fldChar w:fldCharType="end"/>
              </w:r>
            </w:p>
            <w:p w14:paraId="60C66053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_Toc27318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4.2 核心技术亮点</w:t>
              </w:r>
              <w:r>
                <w:tab/>
              </w:r>
              <w:r>
                <w:fldChar w:fldCharType="begin"/>
              </w:r>
              <w:r>
                <w:instrText xml:space="preserve"> PAGEREF _Toc27318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fldChar w:fldCharType="end"/>
              </w:r>
            </w:p>
            <w:p w14:paraId="3309995A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_Toc28634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4.3 训练流程轻量化</w:t>
              </w:r>
              <w:r>
                <w:tab/>
              </w:r>
              <w:r>
                <w:fldChar w:fldCharType="begin"/>
              </w:r>
              <w:r>
                <w:instrText xml:space="preserve"> PAGEREF _Toc28634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fldChar w:fldCharType="end"/>
              </w:r>
            </w:p>
            <w:p w14:paraId="707F9F8A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_Toc20745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五、差异化亮点</w:t>
              </w:r>
              <w:r>
                <w:tab/>
              </w:r>
              <w:r>
                <w:fldChar w:fldCharType="begin"/>
              </w:r>
              <w:r>
                <w:instrText xml:space="preserve"> PAGEREF _Toc20745 \h </w:instrText>
              </w:r>
              <w:r>
                <w:fldChar w:fldCharType="separate"/>
              </w:r>
              <w:r>
                <w:t>12</w:t>
              </w:r>
              <w:r>
                <w:fldChar w:fldCharType="end"/>
              </w:r>
              <w:r>
                <w:fldChar w:fldCharType="end"/>
              </w:r>
            </w:p>
            <w:p w14:paraId="1132F7C0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_Toc32729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5.1 与现有方案对比</w:t>
              </w:r>
              <w:r>
                <w:tab/>
              </w:r>
              <w:r>
                <w:fldChar w:fldCharType="begin"/>
              </w:r>
              <w:r>
                <w:instrText xml:space="preserve"> PAGEREF _Toc32729 \h </w:instrText>
              </w:r>
              <w:r>
                <w:fldChar w:fldCharType="separate"/>
              </w:r>
              <w:r>
                <w:t>12</w:t>
              </w:r>
              <w:r>
                <w:fldChar w:fldCharType="end"/>
              </w:r>
              <w:r>
                <w:fldChar w:fldCharType="end"/>
              </w:r>
            </w:p>
            <w:p w14:paraId="7A275CA7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_Toc20415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5.2 三大核心亮点</w:t>
              </w:r>
              <w:r>
                <w:tab/>
              </w:r>
              <w:r>
                <w:fldChar w:fldCharType="begin"/>
              </w:r>
              <w:r>
                <w:instrText xml:space="preserve"> PAGEREF _Toc20415 \h </w:instrText>
              </w:r>
              <w:r>
                <w:fldChar w:fldCharType="separate"/>
              </w:r>
              <w:r>
                <w:t>12</w:t>
              </w:r>
              <w:r>
                <w:fldChar w:fldCharType="end"/>
              </w:r>
              <w:r>
                <w:fldChar w:fldCharType="end"/>
              </w:r>
            </w:p>
            <w:p w14:paraId="40631C76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_Toc4284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六、Demo 规划</w:t>
              </w:r>
              <w:r>
                <w:tab/>
              </w:r>
              <w:r>
                <w:fldChar w:fldCharType="begin"/>
              </w:r>
              <w:r>
                <w:instrText xml:space="preserve"> PAGEREF _Toc4284 \h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fldChar w:fldCharType="end"/>
              </w:r>
            </w:p>
            <w:p w14:paraId="377D4FC5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_Toc10920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6.1 Demo 最小闭环</w:t>
              </w:r>
              <w:r>
                <w:tab/>
              </w:r>
              <w:r>
                <w:fldChar w:fldCharType="begin"/>
              </w:r>
              <w:r>
                <w:instrText xml:space="preserve"> PAGEREF _Toc10920 \h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fldChar w:fldCharType="end"/>
              </w:r>
            </w:p>
            <w:p w14:paraId="355E487F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_Toc14698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6.2 Demo 功能优先级</w:t>
              </w:r>
              <w:r>
                <w:tab/>
              </w:r>
              <w:r>
                <w:fldChar w:fldCharType="begin"/>
              </w:r>
              <w:r>
                <w:instrText xml:space="preserve"> PAGEREF _Toc14698 \h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fldChar w:fldCharType="end"/>
              </w:r>
            </w:p>
            <w:p w14:paraId="2286E5E5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_Toc24064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6.3 Demo 演示脚本建议</w:t>
              </w:r>
              <w:r>
                <w:tab/>
              </w:r>
              <w:r>
                <w:fldChar w:fldCharType="begin"/>
              </w:r>
              <w:r>
                <w:instrText xml:space="preserve"> PAGEREF _Toc24064 \h </w:instrText>
              </w:r>
              <w:r>
                <w:fldChar w:fldCharType="separate"/>
              </w:r>
              <w:r>
                <w:t>13</w:t>
              </w:r>
              <w:r>
                <w:fldChar w:fldCharType="end"/>
              </w:r>
              <w:r>
                <w:fldChar w:fldCharType="end"/>
              </w:r>
            </w:p>
            <w:p w14:paraId="6640C3B3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_Toc2652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七、无障碍设计与数据责任</w:t>
              </w:r>
              <w:r>
                <w:tab/>
              </w:r>
              <w:r>
                <w:fldChar w:fldCharType="begin"/>
              </w:r>
              <w:r>
                <w:instrText xml:space="preserve"> PAGEREF _Toc2652 \h </w:instrText>
              </w:r>
              <w:r>
                <w:fldChar w:fldCharType="separate"/>
              </w:r>
              <w:r>
                <w:t>15</w:t>
              </w:r>
              <w:r>
                <w:fldChar w:fldCharType="end"/>
              </w:r>
              <w:r>
                <w:fldChar w:fldCharType="end"/>
              </w:r>
            </w:p>
            <w:p w14:paraId="148AF834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_Toc20704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7.1 应用无障碍设计</w:t>
              </w:r>
              <w:r>
                <w:tab/>
              </w:r>
              <w:r>
                <w:fldChar w:fldCharType="begin"/>
              </w:r>
              <w:r>
                <w:instrText xml:space="preserve"> PAGEREF _Toc20704 \h </w:instrText>
              </w:r>
              <w:r>
                <w:fldChar w:fldCharType="separate"/>
              </w:r>
              <w:r>
                <w:t>15</w:t>
              </w:r>
              <w:r>
                <w:fldChar w:fldCharType="end"/>
              </w:r>
              <w:r>
                <w:fldChar w:fldCharType="end"/>
              </w:r>
            </w:p>
            <w:p w14:paraId="4C0389AD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_Toc3263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7.2 隐私与数据归属</w:t>
              </w:r>
              <w:r>
                <w:tab/>
              </w:r>
              <w:r>
                <w:fldChar w:fldCharType="begin"/>
              </w:r>
              <w:r>
                <w:instrText xml:space="preserve"> PAGEREF _Toc3263 \h </w:instrText>
              </w:r>
              <w:r>
                <w:fldChar w:fldCharType="separate"/>
              </w:r>
              <w:r>
                <w:t>15</w:t>
              </w:r>
              <w:r>
                <w:fldChar w:fldCharType="end"/>
              </w:r>
              <w:r>
                <w:fldChar w:fldCharType="end"/>
              </w:r>
            </w:p>
            <w:p w14:paraId="7628F498">
              <w:pPr>
                <w:pStyle w:val="9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_Toc5200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6"/>
                </w:rPr>
                <w:t>八、总结与展望</w:t>
              </w:r>
              <w:r>
                <w:tab/>
              </w:r>
              <w:r>
                <w:fldChar w:fldCharType="begin"/>
              </w:r>
              <w:r>
                <w:instrText xml:space="preserve"> PAGEREF _Toc5200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fldChar w:fldCharType="end"/>
              </w:r>
            </w:p>
            <w:p w14:paraId="2041E46B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_Toc20421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8.1 方案总结</w:t>
              </w:r>
              <w:r>
                <w:tab/>
              </w:r>
              <w:r>
                <w:fldChar w:fldCharType="begin"/>
              </w:r>
              <w:r>
                <w:instrText xml:space="preserve"> PAGEREF _Toc20421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fldChar w:fldCharType="end"/>
              </w:r>
            </w:p>
            <w:p w14:paraId="0F3FF6DA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_Toc23516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8.2 社会价值</w:t>
              </w:r>
              <w:r>
                <w:tab/>
              </w:r>
              <w:r>
                <w:fldChar w:fldCharType="begin"/>
              </w:r>
              <w:r>
                <w:instrText xml:space="preserve"> PAGEREF _Toc23516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fldChar w:fldCharType="end"/>
              </w:r>
            </w:p>
            <w:p w14:paraId="3A0F0282">
              <w:pPr>
                <w:pStyle w:val="11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_Toc7523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bCs/>
                  <w:szCs w:val="30"/>
                </w:rPr>
                <w:t>8.3 未来展望</w:t>
              </w:r>
              <w:r>
                <w:tab/>
              </w:r>
              <w:r>
                <w:fldChar w:fldCharType="begin"/>
              </w:r>
              <w:r>
                <w:instrText xml:space="preserve"> PAGEREF _Toc7523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fldChar w:fldCharType="end"/>
              </w:r>
            </w:p>
            <w:p w14:paraId="5092415E">
              <w:r>
                <w:fldChar w:fldCharType="end"/>
              </w:r>
            </w:p>
          </w:sdtContent>
        </w:sdt>
        <w:p w14:paraId="23260F9F"/>
        <w:p w14:paraId="0E340C25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560B8A5">
          <w:r>
            <w:fldChar w:fldCharType="end"/>
          </w:r>
        </w:p>
      </w:sdtContent>
    </w:sdt>
    <w:p w14:paraId="14FE5F6F">
      <w:r>
        <w:br w:type="page"/>
      </w:r>
    </w:p>
    <w:p w14:paraId="087E31D9">
      <w:pPr>
        <w:pStyle w:val="2"/>
        <w:spacing w:before="360" w:after="200"/>
      </w:pPr>
      <w:bookmarkStart w:id="0" w:name="_Toc16550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一、项目概述</w:t>
      </w:r>
      <w:bookmarkEnd w:id="0"/>
    </w:p>
    <w:p w14:paraId="0197537D">
      <w:pPr>
        <w:pStyle w:val="3"/>
        <w:spacing w:before="280" w:after="160"/>
      </w:pPr>
      <w:bookmarkStart w:id="1" w:name="_Toc4235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1.1 项目背景</w:t>
      </w:r>
      <w:bookmarkEnd w:id="1"/>
    </w:p>
    <w:p w14:paraId="7C3E64A0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中国听障人群规模超过 2000 万，其中相当比例以手语为主要沟通方式。然而，社会大众对手语普遍陌生，导致听障群体在就医、办事、应急、社交等高频场景中长期面临"沟通断层"问题。这不仅是一个信息传递障碍，更深层的影响是——听障者在公共空间中"存在感不足"，难以主动表达诉求、参与社会协作。</w:t>
      </w:r>
    </w:p>
    <w:p w14:paraId="5E203F7B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现有手语翻译类产品多停留在"把手语翻译成文字"的单向工具层面，听障者始终处于被动被理解的位置，并未真正解决"表达权"与"存在感"的核心诉求。本项目旨在通过 AI 数字分身技术，让听障者训练一个属于自己的数字人，借数字人之口主动表达自我，从"被帮助者"转变为"表达者"。</w:t>
      </w:r>
    </w:p>
    <w:p w14:paraId="455A58A4">
      <w:pPr>
        <w:pStyle w:val="3"/>
        <w:spacing w:before="280" w:after="160"/>
      </w:pPr>
      <w:bookmarkStart w:id="2" w:name="_Toc19987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1.2 项目定位</w:t>
      </w:r>
      <w:bookmarkEnd w:id="2"/>
    </w:p>
    <w:p w14:paraId="4C07F9CD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手语数字分身（SignTwin）是一款面向听障人群的 AI 数字分身表达工具。听障用户通过录制少量手语视频，训练出具备个人形象、音色与生动面部表情的数字分身，该分身可在办事沟通、线上表达、远程通话等场景替用户"说话"，帮助听障者跨越沟通壁垒，获得可见的社会存在感。</w:t>
      </w:r>
    </w:p>
    <w:p w14:paraId="1246304E">
      <w:pPr>
        <w:pStyle w:val="3"/>
        <w:spacing w:before="280" w:after="160"/>
      </w:pPr>
      <w:bookmarkStart w:id="3" w:name="_Toc6021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1.3 核心价值主张</w:t>
      </w:r>
      <w:bookmarkEnd w:id="3"/>
    </w:p>
    <w:p w14:paraId="7D828D54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从"翻译工具"升级为"表达分身"：不只让听障者被理解，更让听障者能主动表达。</w:t>
      </w:r>
    </w:p>
    <w:p w14:paraId="60CE63B0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从"通用翻译"升级为"个人分身"：数字人带有用户个人形象、音色与表情风格，是用户的数字延伸。</w:t>
      </w:r>
    </w:p>
    <w:p w14:paraId="4ACD5287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从"技术 demo"升级为"公益闭环"：聚焦真实高频场景，让技术真正落地为听障者的社会参与能力。</w:t>
      </w:r>
    </w:p>
    <w:p w14:paraId="14168458">
      <w:r>
        <w:br w:type="page"/>
      </w:r>
    </w:p>
    <w:p w14:paraId="64720663">
      <w:pPr>
        <w:pStyle w:val="2"/>
        <w:spacing w:before="360" w:after="200"/>
      </w:pPr>
      <w:bookmarkStart w:id="4" w:name="_Toc22524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二、痛点分析</w:t>
      </w:r>
      <w:bookmarkEnd w:id="4"/>
    </w:p>
    <w:p w14:paraId="096B8135">
      <w:pPr>
        <w:pStyle w:val="3"/>
        <w:spacing w:before="280" w:after="160"/>
      </w:pPr>
      <w:bookmarkStart w:id="5" w:name="_Toc5988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2.1 听障人群沟通现状</w:t>
      </w:r>
      <w:bookmarkEnd w:id="5"/>
    </w:p>
    <w:p w14:paraId="25980F51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听障人士在就医、办事、应急等场景中普遍面临"沟通难"问题。以就医为例，从病情描述到医嘱理解的全流程均存在信息传递障碍，在快节奏、嘈杂的医疗环境中尤为突出。12345 政务热线等公共服务对听障者而言"说不出、听不到"，难以享受基本公共服务便利。</w:t>
      </w:r>
    </w:p>
    <w:p w14:paraId="15BD0725">
      <w:pPr>
        <w:pStyle w:val="3"/>
        <w:spacing w:before="280" w:after="160"/>
      </w:pPr>
      <w:bookmarkStart w:id="6" w:name="_Toc4408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2.2 现有方案的不足</w:t>
      </w:r>
      <w:bookmarkEnd w:id="6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8"/>
        <w:gridCol w:w="3559"/>
        <w:gridCol w:w="3559"/>
      </w:tblGrid>
      <w:tr w14:paraId="4247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424F1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70CA5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现有方案表现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98495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用户痛点</w:t>
            </w:r>
          </w:p>
        </w:tc>
      </w:tr>
      <w:tr w14:paraId="2F45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0BE78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识别准确率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E77E1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手势识别易受环境干扰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CE37E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仅 35% 用户对现有工具满意</w:t>
            </w:r>
          </w:p>
        </w:tc>
      </w:tr>
      <w:tr w14:paraId="6F6D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FDE11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表达完整性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9FD60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多数只做手势，忽略面部表情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F541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手语表情是语法核心，缺失导致语义失真</w:t>
            </w:r>
          </w:p>
        </w:tc>
      </w:tr>
      <w:tr w14:paraId="232D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1E4D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使用角色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A7046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听障者作为"被翻译对象"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3C8E8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听障者缺乏主动表达权，存在感不足</w:t>
            </w:r>
          </w:p>
        </w:tc>
      </w:tr>
      <w:tr w14:paraId="7E87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1885F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场景覆盖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94549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多为通用翻译，不结合办事流程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95674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实际办事仍需他人协助，未形成闭环</w:t>
            </w:r>
          </w:p>
        </w:tc>
      </w:tr>
    </w:tbl>
    <w:p w14:paraId="10FB33F9">
      <w:pPr>
        <w:pStyle w:val="3"/>
        <w:spacing w:before="280" w:after="160"/>
      </w:pPr>
      <w:bookmarkStart w:id="7" w:name="_Toc3141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2.3 核心洞察</w:t>
      </w:r>
      <w:bookmarkEnd w:id="7"/>
    </w:p>
    <w:p w14:paraId="66971021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手语并非"汉字比划版"，而是一门独立语言，其表意依赖手势、面部表情、身体姿态与空间位置共同完成。面部表情承担疑问、感叹、否定等语法功能，是手语不可或缺的组成部分。现有数字人产品普遍只渲染手势而忽略表情，导致语义严重失真。这正是本项目最大的技术差异化机会。</w:t>
      </w:r>
    </w:p>
    <w:p w14:paraId="2A01496C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更深层的洞察在于：听障者真正缺的不是"被翻译"，而是"被看见"。一个能替他们主动表达、带有他们个人特征的数字分身，才是"存在感"的真正解法。</w:t>
      </w:r>
    </w:p>
    <w:p w14:paraId="162FA7A2">
      <w:r>
        <w:br w:type="page"/>
      </w:r>
    </w:p>
    <w:p w14:paraId="68086C7E">
      <w:pPr>
        <w:pStyle w:val="2"/>
        <w:spacing w:before="360" w:after="200"/>
      </w:pPr>
      <w:bookmarkStart w:id="8" w:name="_Toc28527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三、产品方案</w:t>
      </w:r>
      <w:bookmarkEnd w:id="8"/>
    </w:p>
    <w:p w14:paraId="5A983EDC">
      <w:pPr>
        <w:pStyle w:val="3"/>
        <w:spacing w:before="280" w:after="160"/>
      </w:pPr>
      <w:bookmarkStart w:id="9" w:name="_Toc24368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3.1 产品架构</w:t>
      </w:r>
      <w:bookmarkEnd w:id="9"/>
    </w:p>
    <w:p w14:paraId="24B71640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产品整体分为三层：用户层（听障用户与健听接收方）、核心服务层（数字分身训练与管理、表达引擎、场景应用）、基础能力层（手语识别、表情合成、语音合成、LLM 语义理解）。</w:t>
      </w:r>
    </w:p>
    <w:p w14:paraId="273D72BD">
      <w:pPr>
        <w:pStyle w:val="3"/>
        <w:spacing w:before="280" w:after="160"/>
      </w:pPr>
      <w:bookmarkStart w:id="10" w:name="_Toc16797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3.2 核心功能模块</w:t>
      </w:r>
      <w:bookmarkEnd w:id="10"/>
    </w:p>
    <w:p w14:paraId="100CA86F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3.2.1 用户登录与身份</w:t>
      </w:r>
    </w:p>
    <w:p w14:paraId="7D7B1593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支持手机号登录与微信登录两种方式，降低听障用户使用门槛，便于快速接入。登录后引导用户完成基本信息填写与无障碍偏好设置。</w:t>
      </w:r>
    </w:p>
    <w:p w14:paraId="35949078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3.2.2 数字分身训练</w:t>
      </w:r>
    </w:p>
    <w:p w14:paraId="064098EC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采用轻量化训练流程，降低首次使用门槛：</w:t>
      </w:r>
    </w:p>
    <w:p w14:paraId="007AB112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用户录制 3-5 段手语短视频（含日常表达与情绪表达）。</w:t>
      </w:r>
    </w:p>
    <w:p w14:paraId="57651A77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系统自动提取手势、面部表情、个人形象特征。</w:t>
      </w:r>
    </w:p>
    <w:p w14:paraId="3B47D670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生成基础数字分身，支持后续增量优化。</w:t>
      </w:r>
    </w:p>
    <w:p w14:paraId="1918B8EC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用户可校准表情强度与动作风格，保留个人特色。</w:t>
      </w:r>
    </w:p>
    <w:p w14:paraId="1F1EA1F4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3.2.3 面部表情系统（技术亮点）</w:t>
      </w:r>
    </w:p>
    <w:p w14:paraId="7491D733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这是本产品最核心的技术差异化点。系统不仅渲染手势，更同步生成与手词语义匹配的面部表情，包括：</w:t>
      </w:r>
    </w:p>
    <w:p w14:paraId="6262F618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疑问句：眉毛上扬、头部微倾。</w:t>
      </w:r>
    </w:p>
    <w:p w14:paraId="6565B55F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否定句：摇头、眉间微蹙。</w:t>
      </w:r>
    </w:p>
    <w:p w14:paraId="1F261187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时态与程度：嘴型配合、表情强度变化。</w:t>
      </w:r>
    </w:p>
    <w:p w14:paraId="5E4D5B3B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情绪色彩：喜悦、焦急、困惑等情绪的表情传递。</w:t>
      </w:r>
    </w:p>
    <w:p w14:paraId="794B9585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用户可调节表情强度，既忠于手语语法规范，又保留个人表达风格，实现"规范+个性"的平衡。</w:t>
      </w:r>
    </w:p>
    <w:p w14:paraId="19A06497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3.2.4 语言与语音</w:t>
      </w:r>
    </w:p>
    <w:p w14:paraId="3923410F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语言范围：以中国普通话为唯一语言，暂不涉及英语与其他语种。数字分身语音支持个人音色定制，语速、语调可调，使"替你说的话"更像你本人。</w:t>
      </w:r>
    </w:p>
    <w:p w14:paraId="2E1C734C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3.2.5 数字分身形象</w:t>
      </w:r>
    </w:p>
    <w:p w14:paraId="3E44622E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支持基础形象定制，包括面部特征、发型、服饰等。用户可选择写实或风格化形象，兼顾隐私保护与个性表达。听障用户可选择不真人出镜，用数字分身代替自己出现在各类场景。</w:t>
      </w:r>
    </w:p>
    <w:p w14:paraId="4B029A26">
      <w:pPr>
        <w:pStyle w:val="3"/>
        <w:spacing w:before="280" w:after="160"/>
      </w:pPr>
      <w:bookmarkStart w:id="11" w:name="_Toc19707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3.3 使用场景闭环</w:t>
      </w:r>
      <w:bookmarkEnd w:id="11"/>
    </w:p>
    <w:p w14:paraId="136E35F9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3.3.1 线下办事场景</w:t>
      </w:r>
    </w:p>
    <w:p w14:paraId="29C79C16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听障者出示数字分身二维码，医生、柜员等健听服务方扫码后，在终端看到数字分身替听障者表达诉求（如"我挂骨科，膝盖疼了一周"）。服务方语音回复，系统转文字并高亮重点反馈给听障者，形成双向闭环。</w:t>
      </w:r>
    </w:p>
    <w:p w14:paraId="6E18DD15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3.3.2 线上表达场景</w:t>
      </w:r>
    </w:p>
    <w:p w14:paraId="13B10F3A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数字分身可生成短视频或参与直播，替听障者在社交平台、内容平台表达观点、分享生活。让听障者从手语受众的小圈子，走向更广阔的数字表达空间。</w:t>
      </w:r>
    </w:p>
    <w:p w14:paraId="08450D76">
      <w:pPr>
        <w:pStyle w:val="4"/>
        <w:spacing w:before="220" w:after="120"/>
      </w:pPr>
      <w:r>
        <w:rPr>
          <w:rFonts w:ascii="微软雅黑" w:hAnsi="微软雅黑" w:eastAsia="微软雅黑"/>
          <w:b/>
          <w:bCs/>
          <w:color w:val="333333"/>
          <w:sz w:val="26"/>
          <w:szCs w:val="26"/>
        </w:rPr>
        <w:t>3.3.3 远程沟通场景</w:t>
      </w:r>
    </w:p>
    <w:p w14:paraId="31D5DE2E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在语音通话场景中，数字分身实时替听障者"说话"，对方听到的是数字人合成的语音，看到的是数字人的手语与表情，实现听障者与健听者的实时双向沟通。</w:t>
      </w:r>
    </w:p>
    <w:p w14:paraId="45CEB6E6">
      <w:r>
        <w:br w:type="page"/>
      </w:r>
    </w:p>
    <w:p w14:paraId="02E09EFE">
      <w:pPr>
        <w:pStyle w:val="2"/>
        <w:spacing w:before="360" w:after="200"/>
      </w:pPr>
      <w:bookmarkStart w:id="12" w:name="_Toc31712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四、技术架构</w:t>
      </w:r>
      <w:bookmarkEnd w:id="12"/>
    </w:p>
    <w:p w14:paraId="557AC15C">
      <w:pPr>
        <w:pStyle w:val="3"/>
        <w:spacing w:before="280" w:after="160"/>
      </w:pPr>
      <w:bookmarkStart w:id="13" w:name="_Toc355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4.1 整体技术栈</w:t>
      </w:r>
      <w:bookmarkEnd w:id="13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8"/>
        <w:gridCol w:w="3662"/>
        <w:gridCol w:w="3656"/>
      </w:tblGrid>
      <w:tr w14:paraId="165F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3686C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F6AC6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技术选型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BA49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5CB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8DAA5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手势识别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E2F7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MediaPipe / OpenPose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CFF29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提取手部关键点与身体姿态</w:t>
            </w:r>
          </w:p>
        </w:tc>
      </w:tr>
      <w:tr w14:paraId="7056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C1705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表情合成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B3991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面部关键点 + 表情映射模型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893D8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实现非手动特征与手势同步</w:t>
            </w:r>
          </w:p>
        </w:tc>
      </w:tr>
      <w:tr w14:paraId="4064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CA22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语义理解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2CBA4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LLM 大语言模型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021D6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手语语义转文字、意图理解</w:t>
            </w:r>
          </w:p>
        </w:tc>
      </w:tr>
      <w:tr w14:paraId="6EF3C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0156A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语音合成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63B19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TTS + 音色定制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70BA7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生成个性化普通话语音</w:t>
            </w:r>
          </w:p>
        </w:tc>
      </w:tr>
      <w:tr w14:paraId="6142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F8948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数字人渲染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C8F41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2D/3D 数字人引擎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9562F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形象、动作、表情一体化渲染</w:t>
            </w:r>
          </w:p>
        </w:tc>
      </w:tr>
      <w:tr w14:paraId="35FD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C8C0E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开发平台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374C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TRAE Work / TRAE IDE</w:t>
            </w:r>
          </w:p>
        </w:tc>
        <w:tc>
          <w:tcPr>
            <w:tcW w:w="36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216E5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快速搭建产品原型与集成</w:t>
            </w:r>
          </w:p>
        </w:tc>
      </w:tr>
    </w:tbl>
    <w:p w14:paraId="4907FC84">
      <w:pPr>
        <w:pStyle w:val="3"/>
        <w:spacing w:before="280" w:after="160"/>
      </w:pPr>
      <w:bookmarkStart w:id="14" w:name="_Toc27318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4.2 核心技术亮点</w:t>
      </w:r>
      <w:bookmarkEnd w:id="14"/>
    </w:p>
    <w:p w14:paraId="645EBA86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面部表情系统是本项目的技术核心与差异化关键。传统手语数字人仅渲染手势，本项目实现"手势+面部表情+身体姿态"三位一体的完整手语表达，表情与手势语义严格同步，并由用户自主校准强度，兼顾语法规范与个人风格。</w:t>
      </w:r>
    </w:p>
    <w:p w14:paraId="36138F99">
      <w:pPr>
        <w:pStyle w:val="3"/>
        <w:spacing w:before="280" w:after="160"/>
      </w:pPr>
      <w:bookmarkStart w:id="15" w:name="_Toc28634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4.3 训练流程轻量化</w:t>
      </w:r>
      <w:bookmarkEnd w:id="15"/>
    </w:p>
    <w:p w14:paraId="4AD5623F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为降低听障用户使用门槛，训练流程设计为"少量录制-自动提取-增量优化"三步走，首次训练仅需 3-5 段短视频，后续可持续优化分身质量，避免"技术太重做不出来"的可行性风险。</w:t>
      </w:r>
    </w:p>
    <w:p w14:paraId="03C502BF">
      <w:r>
        <w:br w:type="page"/>
      </w:r>
    </w:p>
    <w:p w14:paraId="5E69AB76">
      <w:pPr>
        <w:pStyle w:val="2"/>
        <w:spacing w:before="360" w:after="200"/>
      </w:pPr>
      <w:bookmarkStart w:id="16" w:name="_Toc20745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五、差异化亮点</w:t>
      </w:r>
      <w:bookmarkEnd w:id="16"/>
    </w:p>
    <w:p w14:paraId="33ACF01A">
      <w:pPr>
        <w:pStyle w:val="3"/>
        <w:spacing w:before="280" w:after="160"/>
      </w:pPr>
      <w:bookmarkStart w:id="17" w:name="_Toc32729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5.1 与现有方案对比</w:t>
      </w:r>
      <w:bookmarkEnd w:id="17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7"/>
        <w:gridCol w:w="3557"/>
        <w:gridCol w:w="3562"/>
      </w:tblGrid>
      <w:tr w14:paraId="1CDB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B7186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对比维度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6FA78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现有手语翻译产品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E6592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本项目 SignTwin</w:t>
            </w:r>
          </w:p>
        </w:tc>
      </w:tr>
      <w:tr w14:paraId="469F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5E3C9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产品定位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48AEF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单向翻译工具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C0311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个人数字分身，主动表达</w:t>
            </w:r>
          </w:p>
        </w:tc>
      </w:tr>
      <w:tr w14:paraId="5F7F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CE3A7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面部表情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396D9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缺失或简单贴图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275B0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语法级表情系统，用户可校准</w:t>
            </w:r>
          </w:p>
        </w:tc>
      </w:tr>
      <w:tr w14:paraId="7AD6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F383C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个性化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32A5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通用形象与语音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C18CC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个人形象、音色、表情风格</w:t>
            </w:r>
          </w:p>
        </w:tc>
      </w:tr>
      <w:tr w14:paraId="1786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29ACD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使用角色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E860C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听障者被动被翻译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ACE1D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听障者主动训练与表达</w:t>
            </w:r>
          </w:p>
        </w:tc>
      </w:tr>
      <w:tr w14:paraId="61C8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D7B25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场景闭环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DB807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仅翻译，不结合办事流程</w:t>
            </w:r>
          </w:p>
        </w:tc>
        <w:tc>
          <w:tcPr>
            <w:tcW w:w="35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73F36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办事、表达、沟通三场景闭环</w:t>
            </w:r>
          </w:p>
        </w:tc>
      </w:tr>
    </w:tbl>
    <w:p w14:paraId="3A8A1E38">
      <w:pPr>
        <w:pStyle w:val="3"/>
        <w:spacing w:before="280" w:after="160"/>
      </w:pPr>
      <w:bookmarkStart w:id="18" w:name="_Toc20415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5.2 三大核心亮点</w:t>
      </w:r>
      <w:bookmarkEnd w:id="18"/>
    </w:p>
    <w:p w14:paraId="76054F21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立意升级：从"被帮助"到"能表达"，直击"存在感"核心诉求，公益价值更深。</w:t>
      </w:r>
    </w:p>
    <w:p w14:paraId="423D0BA5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技术差异：面部表情系统是手语语法核心，现有产品普遍缺失，本项目形成技术壁垒。</w:t>
      </w:r>
    </w:p>
    <w:p w14:paraId="735CD00D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体验闭环：聚焦办事、表达、沟通三大真实场景，形成完整使用闭环，非空中楼阁。</w:t>
      </w:r>
    </w:p>
    <w:p w14:paraId="626DD806">
      <w:r>
        <w:br w:type="page"/>
      </w:r>
    </w:p>
    <w:p w14:paraId="4512F434">
      <w:pPr>
        <w:pStyle w:val="2"/>
        <w:spacing w:before="360" w:after="200"/>
      </w:pPr>
      <w:bookmarkStart w:id="30" w:name="_GoBack"/>
      <w:bookmarkEnd w:id="30"/>
      <w:bookmarkStart w:id="19" w:name="_Toc4284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六、Demo 规划</w:t>
      </w:r>
      <w:bookmarkEnd w:id="19"/>
    </w:p>
    <w:p w14:paraId="56D79965">
      <w:pPr>
        <w:pStyle w:val="3"/>
        <w:spacing w:before="280" w:after="160"/>
      </w:pPr>
      <w:bookmarkStart w:id="20" w:name="_Toc10920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6.1 Demo 最小闭环</w:t>
      </w:r>
      <w:bookmarkEnd w:id="20"/>
    </w:p>
    <w:p w14:paraId="720677A2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为保证赛事期间可交付，Demo 聚焦一个完整闭环：用户登录 → 录制手语视频 → 生成数字分身 → 数字分身替用户表达一段诉求 → 健听方接收并理解。重点展示面部表情系统的效果。</w:t>
      </w:r>
    </w:p>
    <w:p w14:paraId="18E09BD1">
      <w:pPr>
        <w:pStyle w:val="3"/>
        <w:spacing w:before="280" w:after="160"/>
      </w:pPr>
      <w:bookmarkStart w:id="21" w:name="_Toc14698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6.2 Demo 功能优先级</w:t>
      </w:r>
      <w:bookmarkEnd w:id="21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3757"/>
        <w:gridCol w:w="3759"/>
      </w:tblGrid>
      <w:tr w14:paraId="65E2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B1C76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优先级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D4B21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功能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A67A2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FFFFFF"/>
                <w:sz w:val="22"/>
                <w:szCs w:val="22"/>
              </w:rPr>
              <w:t>Demo 是否实现</w:t>
            </w:r>
          </w:p>
        </w:tc>
      </w:tr>
      <w:tr w14:paraId="41F5D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73B6C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P0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7FC7B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手机号/微信登录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29716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实现</w:t>
            </w:r>
          </w:p>
        </w:tc>
      </w:tr>
      <w:tr w14:paraId="58D2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30FE9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P0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E15F7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手语视频录制与分身生成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DBC86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实现</w:t>
            </w:r>
          </w:p>
        </w:tc>
      </w:tr>
      <w:tr w14:paraId="4860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2D6E9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P0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6E7E0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数字分身表达（含面部表情）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06E2D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实现</w:t>
            </w:r>
          </w:p>
        </w:tc>
      </w:tr>
      <w:tr w14:paraId="264C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F4859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P1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4835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线下办事场景演示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FA4A5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实现</w:t>
            </w:r>
          </w:p>
        </w:tc>
      </w:tr>
      <w:tr w14:paraId="5ACB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059C3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P2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C7383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线上表达/远程沟通场景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0352F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方案展示，按需实现</w:t>
            </w:r>
          </w:p>
        </w:tc>
      </w:tr>
      <w:tr w14:paraId="16A0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51A75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color w:val="333333"/>
                <w:sz w:val="22"/>
                <w:szCs w:val="22"/>
              </w:rPr>
              <w:t>P2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7BAEF">
            <w:pPr>
              <w:spacing w:line="320" w:lineRule="auto"/>
              <w:jc w:val="left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个人音色定制</w:t>
            </w:r>
          </w:p>
        </w:tc>
        <w:tc>
          <w:tcPr>
            <w:tcW w:w="37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32124">
            <w:pPr>
              <w:spacing w:line="320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color w:val="333333"/>
                <w:sz w:val="22"/>
                <w:szCs w:val="22"/>
              </w:rPr>
              <w:t>方案展示，按需实现</w:t>
            </w:r>
          </w:p>
        </w:tc>
      </w:tr>
    </w:tbl>
    <w:p w14:paraId="26080C14">
      <w:pPr>
        <w:pStyle w:val="3"/>
        <w:spacing w:before="280" w:after="160"/>
      </w:pPr>
      <w:bookmarkStart w:id="22" w:name="_Toc24064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6.3 Demo 演示脚本建议</w:t>
      </w:r>
      <w:bookmarkEnd w:id="22"/>
    </w:p>
    <w:p w14:paraId="27FACECD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开场：以一位听障者就医沟通困难的真实故事引入痛点。</w:t>
      </w:r>
    </w:p>
    <w:p w14:paraId="760AFDF2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演示：现场录制手语视频，生成数字分身，展示含表情的数字人表达。</w:t>
      </w:r>
    </w:p>
    <w:p w14:paraId="7D0AC435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闭环：模拟医生扫码场景，数字分身替听障者表达诉求，医生理解并反馈。</w:t>
      </w:r>
    </w:p>
    <w:p w14:paraId="3EC6F328">
      <w:pPr>
        <w:pStyle w:val="18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升华：强调"存在感"主题，数字分身让听障者从被帮助变为能表达。</w:t>
      </w:r>
    </w:p>
    <w:p w14:paraId="42589E54">
      <w:r>
        <w:br w:type="page"/>
      </w:r>
    </w:p>
    <w:p w14:paraId="5812A1FF">
      <w:pPr>
        <w:pStyle w:val="2"/>
        <w:spacing w:before="360" w:after="200"/>
      </w:pPr>
      <w:bookmarkStart w:id="23" w:name="_Toc2652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七、无障碍设计与数据责任</w:t>
      </w:r>
      <w:bookmarkEnd w:id="23"/>
    </w:p>
    <w:p w14:paraId="49B174C6">
      <w:pPr>
        <w:pStyle w:val="3"/>
        <w:spacing w:before="280" w:after="160"/>
      </w:pPr>
      <w:bookmarkStart w:id="24" w:name="_Toc20704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7.1 应用无障碍设计</w:t>
      </w:r>
      <w:bookmarkEnd w:id="24"/>
    </w:p>
    <w:p w14:paraId="2EFD2937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作为服务听障人群的产品，应用自身必须遵循无障碍设计原则，这是公益赛道的硬性门槛：</w:t>
      </w:r>
    </w:p>
    <w:p w14:paraId="4984BA8B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所有语音提示与提示音配同步文字显示与振动反馈。</w:t>
      </w:r>
    </w:p>
    <w:p w14:paraId="0BDBC3D5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UI 以视觉信息为主，关键操作提供强视觉确认。</w:t>
      </w:r>
    </w:p>
    <w:p w14:paraId="19BA628F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界面简洁，操作步骤清晰，降低认知负担。</w:t>
      </w:r>
    </w:p>
    <w:p w14:paraId="2DE18C16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遵循 WCAG 无障碍标准与《无障碍环境建设法》要求。</w:t>
      </w:r>
    </w:p>
    <w:p w14:paraId="1DE1FB37">
      <w:pPr>
        <w:pStyle w:val="3"/>
        <w:spacing w:before="280" w:after="160"/>
      </w:pPr>
      <w:bookmarkStart w:id="25" w:name="_Toc3263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7.2 隐私与数据归属</w:t>
      </w:r>
      <w:bookmarkEnd w:id="25"/>
    </w:p>
    <w:p w14:paraId="35EE2DED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产品涉及面部、声音、手语动作等敏感生物特征，必须体现对弱势群体数据权益的尊重：</w:t>
      </w:r>
    </w:p>
    <w:p w14:paraId="5F37D8EA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数据本地化优先，敏感特征数据尽量在端侧处理。</w:t>
      </w:r>
    </w:p>
    <w:p w14:paraId="6A7C9BDA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用户自主掌控数据，可一键查看、导出与删除。</w:t>
      </w:r>
    </w:p>
    <w:p w14:paraId="4233DAAD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数字分身数据归属用户本人，平台不擅自使用。</w:t>
      </w:r>
    </w:p>
    <w:p w14:paraId="20CD6C93">
      <w:pPr>
        <w:pStyle w:val="18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/>
          <w:color w:val="333333"/>
          <w:sz w:val="24"/>
          <w:szCs w:val="24"/>
        </w:rPr>
        <w:t>明确隐私政策，以通俗易懂的方式向听障用户告知数据用途。</w:t>
      </w:r>
    </w:p>
    <w:p w14:paraId="09D0A807">
      <w:r>
        <w:br w:type="page"/>
      </w:r>
    </w:p>
    <w:p w14:paraId="458C40FE">
      <w:pPr>
        <w:pStyle w:val="2"/>
        <w:spacing w:before="360" w:after="200"/>
      </w:pPr>
      <w:bookmarkStart w:id="26" w:name="_Toc5200"/>
      <w:r>
        <w:rPr>
          <w:rFonts w:ascii="微软雅黑" w:hAnsi="微软雅黑" w:eastAsia="微软雅黑"/>
          <w:b/>
          <w:bCs/>
          <w:color w:val="1F4E79"/>
          <w:sz w:val="36"/>
          <w:szCs w:val="36"/>
        </w:rPr>
        <w:t>八、总结与展望</w:t>
      </w:r>
      <w:bookmarkEnd w:id="26"/>
    </w:p>
    <w:p w14:paraId="173E2D73">
      <w:pPr>
        <w:pStyle w:val="3"/>
        <w:spacing w:before="280" w:after="160"/>
      </w:pPr>
      <w:bookmarkStart w:id="27" w:name="_Toc20421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8.1 方案总结</w:t>
      </w:r>
      <w:bookmarkEnd w:id="27"/>
    </w:p>
    <w:p w14:paraId="67433202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本项目以"听障者手语数字分身"为核心，针对听障人群"沟通障碍"与"存在感不足"的双重痛点，提出从"被翻译"到"能表达"的产品升级路径。通过面部表情系统这一技术差异化亮点，结合个人形象与音色定制，让数字分身成为听障者在办事、表达、沟通场景中的数字延伸自我。</w:t>
      </w:r>
    </w:p>
    <w:p w14:paraId="1CE3F42B">
      <w:pPr>
        <w:pStyle w:val="3"/>
        <w:spacing w:before="280" w:after="160"/>
      </w:pPr>
      <w:bookmarkStart w:id="28" w:name="_Toc23516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8.2 社会价值</w:t>
      </w:r>
      <w:bookmarkEnd w:id="28"/>
    </w:p>
    <w:p w14:paraId="0E91D359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项目不仅解决沟通工具问题，更回应了听障群体"被看见、被听见"的深层诉求。让听障者拥有主动表达的能力，是推动信息无障碍与社会包容的切实实践，契合 TRAE AI 创造力大赛社会公益赛道的价值导向。</w:t>
      </w:r>
    </w:p>
    <w:p w14:paraId="2DA2DF20">
      <w:pPr>
        <w:pStyle w:val="3"/>
        <w:spacing w:before="280" w:after="160"/>
      </w:pPr>
      <w:bookmarkStart w:id="29" w:name="_Toc7523"/>
      <w:r>
        <w:rPr>
          <w:rFonts w:ascii="微软雅黑" w:hAnsi="微软雅黑" w:eastAsia="微软雅黑"/>
          <w:b/>
          <w:bCs/>
          <w:color w:val="2E75B6"/>
          <w:sz w:val="30"/>
          <w:szCs w:val="30"/>
        </w:rPr>
        <w:t>8.3 未来展望</w:t>
      </w:r>
      <w:bookmarkEnd w:id="29"/>
    </w:p>
    <w:p w14:paraId="6F7B844B">
      <w:pPr>
        <w:spacing w:before="0" w:after="120" w:line="360" w:lineRule="auto"/>
        <w:ind w:firstLine="480"/>
        <w:jc w:val="both"/>
      </w:pPr>
      <w:r>
        <w:rPr>
          <w:rFonts w:ascii="微软雅黑" w:hAnsi="微软雅黑" w:eastAsia="微软雅黑"/>
          <w:b w:val="0"/>
          <w:bCs w:val="0"/>
          <w:color w:val="333333"/>
          <w:sz w:val="24"/>
          <w:szCs w:val="24"/>
        </w:rPr>
        <w:t>在 Demo 验证可行后，未来可逐步扩展多手语体系支持（如地方手语变体）、拓展更多办事场景、引入听障社区共建机制，让听障者不仅是使用者，更是产品共建者，真正实现"科技让每个人都被看见"。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4B41F">
    <w:pPr>
      <w:jc w:val="center"/>
    </w:pPr>
    <w:r>
      <w:rPr>
        <w:rFonts w:ascii="微软雅黑" w:hAnsi="微软雅黑" w:eastAsia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/>
        <w:color w:val="595959"/>
        <w:sz w:val="18"/>
        <w:szCs w:val="18"/>
      </w:rPr>
      <w:t xml:space="preserve"> 页 / 共 </w:t>
    </w:r>
    <w:r>
      <w:rPr>
        <w:rFonts w:ascii="微软雅黑" w:hAnsi="微软雅黑" w:eastAsia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/>
        <w:color w:val="595959"/>
        <w:sz w:val="18"/>
        <w:szCs w:val="18"/>
      </w:rPr>
      <w:instrText xml:space="preserve">NUMPAGES</w:instrText>
    </w:r>
    <w:r>
      <w:rPr>
        <w:rFonts w:ascii="微软雅黑" w:hAnsi="微软雅黑" w:eastAsia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866C8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A6B83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124A6B83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3FD90B"/>
    <w:multiLevelType w:val="multilevel"/>
    <w:tmpl w:val="BD3FD90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EB67BB57"/>
    <w:multiLevelType w:val="singleLevel"/>
    <w:tmpl w:val="EB67BB57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9B7A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color w:val="333333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 w:line="360" w:lineRule="auto"/>
      <w:outlineLvl w:val="0"/>
    </w:pPr>
    <w:rPr>
      <w:rFonts w:ascii="微软雅黑" w:hAnsi="微软雅黑" w:eastAsia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 w:line="360" w:lineRule="auto"/>
      <w:outlineLvl w:val="1"/>
    </w:pPr>
    <w:rPr>
      <w:rFonts w:ascii="微软雅黑" w:hAnsi="微软雅黑" w:eastAsia="微软雅黑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keepNext w:val="0"/>
      <w:keepLines w:val="0"/>
      <w:spacing w:before="220" w:after="120" w:line="360" w:lineRule="auto"/>
      <w:outlineLvl w:val="2"/>
    </w:pPr>
    <w:rPr>
      <w:rFonts w:ascii="微软雅黑" w:hAnsi="微软雅黑" w:eastAsia="微软雅黑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/>
      <w:color w:val="1F4D78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/>
      <w:color w:val="333333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/>
      <w:color w:val="333333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line="360" w:lineRule="auto"/>
    </w:pPr>
    <w:rPr>
      <w:rFonts w:ascii="微软雅黑" w:hAnsi="微软雅黑" w:eastAsia="微软雅黑"/>
      <w:color w:val="333333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360" w:lineRule="auto"/>
    </w:pPr>
    <w:rPr>
      <w:rFonts w:ascii="微软雅黑" w:hAnsi="微软雅黑" w:eastAsia="微软雅黑"/>
      <w:color w:val="333333"/>
      <w:sz w:val="24"/>
      <w:szCs w:val="24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3517</Words>
  <Characters>3714</Characters>
  <TotalTime>1</TotalTime>
  <ScaleCrop>false</ScaleCrop>
  <LinksUpToDate>false</LinksUpToDate>
  <CharactersWithSpaces>3810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2026-06-18T18:07:00Z</dcterms:created>
  <dc:creator>SignTwin 项目组</dc:creator>
  <dc:description>TRAE AI 创造力大赛社会公益赛道参赛方案</dc:description>
  <cp:lastModifiedBy>小洋老师</cp:lastModifiedBy>
  <dcterms:modified xsi:type="dcterms:W3CDTF">2026-06-19T02:14:16Z</dcterms:modified>
  <dc:title>手语数字分身创意方案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eyJoZGlkIjoiNDQzMWVmMDhlOTU3YmEzZDFkOTAyOWNiZmMzYzBmZWEiLCJ1c2VySWQiOiIxMjgwNTA2MzM4In0=</vt:lpwstr>
  </property>
  <property fmtid="{D5CDD505-2E9C-101B-9397-08002B2CF9AE}" pid="3" name="KSOProductBuildVer">
    <vt:lpwstr>2052-12.1.0.24031</vt:lpwstr>
  </property>
  <property fmtid="{D5CDD505-2E9C-101B-9397-08002B2CF9AE}" pid="4" name="ICV">
    <vt:lpwstr>C4EE1627DEBC4773B9E59CAEB424C721_12</vt:lpwstr>
  </property>
</Properties>
</file>