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E274D">
      <w:pPr>
        <w:pStyle w:val="2"/>
      </w:pPr>
      <w:bookmarkStart w:id="0" w:name="生活娱乐赛道铭晨-mingchen铭刻每一发精准"/>
      <w:r>
        <w:t>【生活娱乐赛道】铭晨 MINGCHEN——铭刻每一发精准</w:t>
      </w:r>
    </w:p>
    <w:p w14:paraId="6100DD3B">
      <w:r>
        <w:pict>
          <v:rect id="_x0000_i1025" o:spt="1" style="height:1.5pt;width:0pt;" coordsize="21600,21600" o:hr="t" o:hrstd="t" o:hralign="center">
            <v:path/>
            <v:fill focussize="0,0"/>
            <v:stroke/>
            <v:imagedata o:title=""/>
            <o:lock v:ext="edit"/>
            <w10:wrap type="none"/>
            <w10:anchorlock/>
          </v:rect>
        </w:pict>
      </w:r>
    </w:p>
    <w:p w14:paraId="2061F188">
      <w:pPr>
        <w:pStyle w:val="4"/>
      </w:pPr>
      <w:bookmarkStart w:id="1" w:name="一创意名称-创意介绍"/>
      <w:r>
        <w:t>一、创意名称 + 创意介绍</w:t>
      </w:r>
    </w:p>
    <w:p w14:paraId="4729F905">
      <w:pPr>
        <w:pStyle w:val="26"/>
      </w:pPr>
      <w:r>
        <w:rPr>
          <w:b/>
          <w:bCs/>
        </w:rPr>
        <w:t>创意名称：</w:t>
      </w:r>
      <w:r>
        <w:t xml:space="preserve"> 铭晨 MINGCHEN</w:t>
      </w:r>
    </w:p>
    <w:p w14:paraId="6938B377">
      <w:pPr>
        <w:pStyle w:val="3"/>
      </w:pPr>
      <w:r>
        <w:rPr>
          <w:b/>
          <w:bCs/>
        </w:rPr>
        <w:t>Slogan：</w:t>
      </w:r>
      <w:r>
        <w:t xml:space="preserve"> 铭刻每一发精准</w:t>
      </w:r>
    </w:p>
    <w:p w14:paraId="5A95C719">
      <w:pPr>
        <w:pStyle w:val="5"/>
      </w:pPr>
      <w:bookmarkStart w:id="2" w:name="想解决什么问题"/>
      <w:r>
        <w:t>1.1 想解决什么问题</w:t>
      </w:r>
    </w:p>
    <w:p w14:paraId="4A464CCF">
      <w:pPr>
        <w:pStyle w:val="26"/>
      </w:pPr>
      <w:r>
        <w:t>现有激光训练APP功能单一、视觉简陋，射手看到的只是枯燥的弹着点记录，无法还原真实的瞄准过程；而国内民营射击俱乐部缺乏数字化会员管理工具，教练仍靠经验口头指导，会员训练档案零散，续费率难以提升。据调研，全球射击场市场规模已从2025年的49.4亿美元起步，预计2034年将达98.4亿美元，年复合增长率8.15%；其中智能靶标细分市场增速高达9.73%。然而国内射击数字化进程明显滞后——国内民营实弹射击场仅约100余家，且多数仍采用传统纸靶加人工报靶模式，与美国Mantis Laser Academy、LaserHIT等成熟产品存在代际差距。更关键的是，这些进口APP价格高昂，界面未汉化，视觉风格陈旧，完全不符合国内年轻用户的审美习惯。</w:t>
      </w:r>
    </w:p>
    <w:bookmarkEnd w:id="2"/>
    <w:p w14:paraId="4876B547">
      <w:pPr>
        <w:pStyle w:val="5"/>
      </w:pPr>
      <w:bookmarkStart w:id="3" w:name="为什么会想到做这个"/>
      <w:r>
        <w:t>1.2 为什么会想到做这个</w:t>
      </w:r>
    </w:p>
    <w:p w14:paraId="1A512866">
      <w:pPr>
        <w:pStyle w:val="26"/>
      </w:pPr>
      <w:r>
        <w:t>灵感源自《赛博朋克2077》中”康陶公司”（Kang Tao）的智能武器——这家总部位于沈阳的虚构武器制造商，以螺旋喷射技术和智能追踪弹药闻名。游戏中”锁定—击发—回溯”的科幻射击体验令人印象深刻：准星稳定度实时可视、弹道轨迹全息回溯、击发瞬间数据瀑布流呈现。这启发我们思考：能否将同样的沉浸式数据可视化体验，移植到真实的射击训练中？让每一次Dry Fire空枪练习都像在操作未来武器，让枯燥的基础训练变得可感知、可复盘、可分享。</w:t>
      </w:r>
    </w:p>
    <w:p w14:paraId="0085053F">
      <w:pPr>
        <w:pStyle w:val="3"/>
      </w:pPr>
      <w:r>
        <w:t>Dry Fire（空枪练习）是射击训练的基石——军警、竞技射手每年要进行数千次空枪击发以巩固肌肉记忆。但传统空枪练习极其枯燥，射手对着镜子扣动扳机，既无法直观看到准心的微幅晃动，也无法记录长期进步曲线。激光子弹（Laser Cartridge）的出现解决了”看见弹着点”的问题，但现有APP如LaserHIT、iTarget Pro、Strikeman等，视觉呈现仍停留在”在靶纸上标记红点”的阶段，缺乏过程数据的深度挖掘与美学表达。铭晨要做的，正是填补这一空白——</w:t>
      </w:r>
      <w:r>
        <w:rPr>
          <w:b/>
          <w:bCs/>
        </w:rPr>
        <w:t>用纯软件方案，让用户只需一部手机就能获得专业级射击分析体验</w:t>
      </w:r>
      <w:r>
        <w:t>。</w:t>
      </w:r>
    </w:p>
    <w:bookmarkEnd w:id="3"/>
    <w:p w14:paraId="5AC0EF88">
      <w:pPr>
        <w:pStyle w:val="5"/>
      </w:pPr>
      <w:bookmarkStart w:id="4" w:name="大概是什么产品"/>
      <w:r>
        <w:t>1.3 大概是什么产品</w:t>
      </w:r>
    </w:p>
    <w:p w14:paraId="2D2BA352">
      <w:pPr>
        <w:pStyle w:val="26"/>
      </w:pPr>
      <w:r>
        <w:t>铭晨是一款</w:t>
      </w:r>
      <w:r>
        <w:rPr>
          <w:b/>
          <w:bCs/>
        </w:rPr>
        <w:t>纯软件的移动端射击分析APP</w:t>
      </w:r>
      <w:r>
        <w:t>。用户只需准备一台智能手机（架在三脚架上对准靶纸）和一支激光训练枪（市面价格98-248元），无需任何额外硬件设备或蓝牙连接，APP通过手机摄像头实时捕捉激光击发信号，经计算机视觉算法处理，生成赛博朋克风格的全流程数据可视化与社交分享内容。</w:t>
      </w:r>
    </w:p>
    <w:p w14:paraId="5EEE7DB3">
      <w:pPr>
        <w:pStyle w:val="3"/>
      </w:pPr>
      <w:r>
        <w:t>核心功能包括：准星晃动轨迹热力图、击发瞬间稳定性评分、弹着点散布分析、历史进步曲线、赛博风战绩卡生成等。作为纯软件产品，铭晨具备</w:t>
      </w:r>
      <w:r>
        <w:rPr>
          <w:b/>
          <w:bCs/>
        </w:rPr>
        <w:t>零硬件成本、即装即用、跨平台适配</w:t>
      </w:r>
      <w:r>
        <w:t>的优势，用户下载APP后即可开始训练，极大降低了产品试用和传播的门槛。</w:t>
      </w:r>
    </w:p>
    <w:p w14:paraId="599A6FDE">
      <w:r>
        <w:pict>
          <v:rect id="_x0000_i1026" o:spt="1" style="height:1.5pt;width:0pt;" coordsize="21600,21600" o:hr="t" o:hrstd="t" o:hralign="center">
            <v:path/>
            <v:fill focussize="0,0"/>
            <v:stroke/>
            <v:imagedata o:title=""/>
            <o:lock v:ext="edit"/>
            <w10:wrap type="none"/>
            <w10:anchorlock/>
          </v:rect>
        </w:pict>
      </w:r>
    </w:p>
    <w:bookmarkEnd w:id="1"/>
    <w:bookmarkEnd w:id="4"/>
    <w:p w14:paraId="3199377D">
      <w:pPr>
        <w:pStyle w:val="4"/>
      </w:pPr>
      <w:bookmarkStart w:id="5" w:name="二目标用户及痛点"/>
      <w:r>
        <w:t>二、目标用户及痛点</w:t>
      </w:r>
    </w:p>
    <w:p w14:paraId="46174ED8">
      <w:pPr>
        <w:pStyle w:val="5"/>
      </w:pPr>
      <w:bookmarkStart w:id="6" w:name="面向哪些用户"/>
      <w:r>
        <w:t>2.1 面向哪些用户</w:t>
      </w:r>
    </w:p>
    <w:p w14:paraId="3CDEC22A">
      <w:pPr>
        <w:pStyle w:val="26"/>
      </w:pPr>
      <w:r>
        <w:t>射击运动是一个呈金字塔结构的圈层市场，从核心竞技射手到泛军迷群体，用户需求与付费能力差异显著。铭晨采取分层用户策略，优先服务高付费意愿的核心群体，再逐步向大众圈层渗透。</w:t>
      </w:r>
    </w:p>
    <w:tbl>
      <w:tblPr>
        <w:tblStyle w:val="44"/>
        <w:tblW w:w="5000" w:type="pct"/>
        <w:tblInd w:w="0" w:type="dxa"/>
        <w:tblLayout w:type="fixed"/>
        <w:tblCellMar>
          <w:top w:w="0" w:type="dxa"/>
          <w:left w:w="108" w:type="dxa"/>
          <w:bottom w:w="0" w:type="dxa"/>
          <w:right w:w="108" w:type="dxa"/>
        </w:tblCellMar>
      </w:tblPr>
      <w:tblGrid>
        <w:gridCol w:w="1156"/>
        <w:gridCol w:w="1925"/>
        <w:gridCol w:w="1925"/>
        <w:gridCol w:w="1925"/>
        <w:gridCol w:w="1925"/>
      </w:tblGrid>
      <w:tr w14:paraId="43510E91">
        <w:tblPrEx>
          <w:tblCellMar>
            <w:top w:w="0" w:type="dxa"/>
            <w:left w:w="108" w:type="dxa"/>
            <w:bottom w:w="0" w:type="dxa"/>
            <w:right w:w="108" w:type="dxa"/>
          </w:tblCellMar>
        </w:tblPrEx>
        <w:trPr>
          <w:tblHeader/>
        </w:trPr>
        <w:tc>
          <w:p w14:paraId="1A344755">
            <w:pPr>
              <w:pStyle w:val="27"/>
              <w:jc w:val="left"/>
            </w:pPr>
            <w:r>
              <w:t>层级</w:t>
            </w:r>
          </w:p>
        </w:tc>
        <w:tc>
          <w:p w14:paraId="13D1D71E">
            <w:pPr>
              <w:pStyle w:val="27"/>
              <w:jc w:val="left"/>
            </w:pPr>
            <w:r>
              <w:t>目标人群</w:t>
            </w:r>
          </w:p>
        </w:tc>
        <w:tc>
          <w:p w14:paraId="6BC73006">
            <w:pPr>
              <w:pStyle w:val="27"/>
              <w:jc w:val="left"/>
            </w:pPr>
            <w:r>
              <w:t>规模估算</w:t>
            </w:r>
          </w:p>
        </w:tc>
        <w:tc>
          <w:p w14:paraId="6EC8154C">
            <w:pPr>
              <w:pStyle w:val="27"/>
              <w:jc w:val="left"/>
            </w:pPr>
            <w:r>
              <w:t>付费意愿</w:t>
            </w:r>
          </w:p>
        </w:tc>
        <w:tc>
          <w:p w14:paraId="085759BC">
            <w:pPr>
              <w:pStyle w:val="27"/>
              <w:jc w:val="left"/>
            </w:pPr>
            <w:r>
              <w:t>特征描述</w:t>
            </w:r>
          </w:p>
        </w:tc>
      </w:tr>
      <w:tr w14:paraId="53C91542">
        <w:tblPrEx>
          <w:tblCellMar>
            <w:top w:w="0" w:type="dxa"/>
            <w:left w:w="108" w:type="dxa"/>
            <w:bottom w:w="0" w:type="dxa"/>
            <w:right w:w="108" w:type="dxa"/>
          </w:tblCellMar>
        </w:tblPrEx>
        <w:tc>
          <w:p w14:paraId="2EA8EEF1">
            <w:pPr>
              <w:pStyle w:val="27"/>
              <w:jc w:val="left"/>
            </w:pPr>
            <w:r>
              <w:rPr>
                <w:b/>
                <w:bCs/>
              </w:rPr>
              <w:t>核心层</w:t>
            </w:r>
          </w:p>
        </w:tc>
        <w:tc>
          <w:p w14:paraId="72600E58">
            <w:pPr>
              <w:pStyle w:val="27"/>
              <w:jc w:val="left"/>
            </w:pPr>
            <w:r>
              <w:t>IPSC/IDPA实用射击认证射手</w:t>
            </w:r>
          </w:p>
        </w:tc>
        <w:tc>
          <w:p w14:paraId="4746E7BD">
            <w:pPr>
              <w:pStyle w:val="27"/>
              <w:jc w:val="left"/>
            </w:pPr>
            <w:r>
              <w:t>全国约2-5万人（含气枪/实弹）</w:t>
            </w:r>
          </w:p>
        </w:tc>
        <w:tc>
          <w:p w14:paraId="2C5B769E">
            <w:pPr>
              <w:pStyle w:val="27"/>
              <w:jc w:val="left"/>
            </w:pPr>
            <w:r>
              <w:rPr>
                <w:b/>
                <w:bCs/>
              </w:rPr>
              <w:t>极高</w:t>
            </w:r>
          </w:p>
        </w:tc>
        <w:tc>
          <w:p w14:paraId="1E631E00">
            <w:pPr>
              <w:pStyle w:val="27"/>
              <w:jc w:val="left"/>
            </w:pPr>
            <w:r>
              <w:t>装备投入动辄数万元，年培训费用4000-5000元/人，对训练工具有刚性需求</w:t>
            </w:r>
          </w:p>
        </w:tc>
      </w:tr>
      <w:tr w14:paraId="52867C52">
        <w:tblPrEx>
          <w:tblCellMar>
            <w:top w:w="0" w:type="dxa"/>
            <w:left w:w="108" w:type="dxa"/>
            <w:bottom w:w="0" w:type="dxa"/>
            <w:right w:w="108" w:type="dxa"/>
          </w:tblCellMar>
        </w:tblPrEx>
        <w:tc>
          <w:p w14:paraId="60E645A8">
            <w:pPr>
              <w:pStyle w:val="27"/>
              <w:jc w:val="left"/>
            </w:pPr>
            <w:r>
              <w:rPr>
                <w:b/>
                <w:bCs/>
              </w:rPr>
              <w:t>扩展层</w:t>
            </w:r>
          </w:p>
        </w:tc>
        <w:tc>
          <w:p w14:paraId="0EA9E99B">
            <w:pPr>
              <w:pStyle w:val="27"/>
              <w:jc w:val="left"/>
            </w:pPr>
            <w:r>
              <w:t>Wargame/Airsoft竞技玩家</w:t>
            </w:r>
          </w:p>
        </w:tc>
        <w:tc>
          <w:p w14:paraId="6E9EAF64">
            <w:pPr>
              <w:pStyle w:val="27"/>
              <w:jc w:val="left"/>
            </w:pPr>
            <w:r>
              <w:t>全国约50万+活跃玩家</w:t>
            </w:r>
          </w:p>
        </w:tc>
        <w:tc>
          <w:p w14:paraId="0F8041ED">
            <w:pPr>
              <w:pStyle w:val="27"/>
              <w:jc w:val="left"/>
            </w:pPr>
            <w:r>
              <w:rPr>
                <w:b/>
                <w:bCs/>
              </w:rPr>
              <w:t>中高</w:t>
            </w:r>
          </w:p>
        </w:tc>
        <w:tc>
          <w:p w14:paraId="798B5E49">
            <w:pPr>
              <w:pStyle w:val="27"/>
              <w:jc w:val="left"/>
            </w:pPr>
            <w:r>
              <w:t>年轻化（18-30岁为主），乐于为”皮肤”和”战绩”付费，社交分享意愿强</w:t>
            </w:r>
          </w:p>
        </w:tc>
      </w:tr>
      <w:tr w14:paraId="0E191A12">
        <w:tblPrEx>
          <w:tblCellMar>
            <w:top w:w="0" w:type="dxa"/>
            <w:left w:w="108" w:type="dxa"/>
            <w:bottom w:w="0" w:type="dxa"/>
            <w:right w:w="108" w:type="dxa"/>
          </w:tblCellMar>
        </w:tblPrEx>
        <w:tc>
          <w:p w14:paraId="252CC163">
            <w:pPr>
              <w:pStyle w:val="27"/>
              <w:jc w:val="left"/>
            </w:pPr>
            <w:r>
              <w:rPr>
                <w:b/>
                <w:bCs/>
              </w:rPr>
              <w:t>B端层</w:t>
            </w:r>
          </w:p>
        </w:tc>
        <w:tc>
          <w:p w14:paraId="738FFF6E">
            <w:pPr>
              <w:pStyle w:val="27"/>
              <w:jc w:val="left"/>
            </w:pPr>
            <w:r>
              <w:t>民营射击俱乐部/靶场</w:t>
            </w:r>
          </w:p>
        </w:tc>
        <w:tc>
          <w:p w14:paraId="1403A06D">
            <w:pPr>
              <w:pStyle w:val="27"/>
              <w:jc w:val="left"/>
            </w:pPr>
            <w:r>
              <w:t>全国约100-200家（实弹+气枪）</w:t>
            </w:r>
          </w:p>
        </w:tc>
        <w:tc>
          <w:p w14:paraId="5A30410E">
            <w:pPr>
              <w:pStyle w:val="27"/>
              <w:jc w:val="left"/>
            </w:pPr>
            <w:r>
              <w:rPr>
                <w:b/>
                <w:bCs/>
              </w:rPr>
              <w:t>高</w:t>
            </w:r>
          </w:p>
        </w:tc>
        <w:tc>
          <w:p w14:paraId="31ACD4A4">
            <w:pPr>
              <w:pStyle w:val="27"/>
              <w:jc w:val="left"/>
            </w:pPr>
            <w:r>
              <w:t>急需数字化会员管理工具，SaaS年费模式可承受</w:t>
            </w:r>
          </w:p>
        </w:tc>
      </w:tr>
      <w:tr w14:paraId="5BF5CFCA">
        <w:tblPrEx>
          <w:tblCellMar>
            <w:top w:w="0" w:type="dxa"/>
            <w:left w:w="108" w:type="dxa"/>
            <w:bottom w:w="0" w:type="dxa"/>
            <w:right w:w="108" w:type="dxa"/>
          </w:tblCellMar>
        </w:tblPrEx>
        <w:tc>
          <w:p w14:paraId="5CA26E53">
            <w:pPr>
              <w:pStyle w:val="27"/>
              <w:jc w:val="left"/>
            </w:pPr>
            <w:r>
              <w:rPr>
                <w:b/>
                <w:bCs/>
              </w:rPr>
              <w:t>流量层</w:t>
            </w:r>
          </w:p>
        </w:tc>
        <w:tc>
          <w:p w14:paraId="0D2A34EA">
            <w:pPr>
              <w:pStyle w:val="27"/>
              <w:jc w:val="left"/>
            </w:pPr>
            <w:r>
              <w:t>泛军迷/枪械文化爱好者</w:t>
            </w:r>
          </w:p>
        </w:tc>
        <w:tc>
          <w:p w14:paraId="22A581CC">
            <w:pPr>
              <w:pStyle w:val="27"/>
              <w:jc w:val="left"/>
            </w:pPr>
            <w:r>
              <w:t>千万级（微博/抖音军迷话题阅读量亿级）</w:t>
            </w:r>
          </w:p>
        </w:tc>
        <w:tc>
          <w:p w14:paraId="1FCD5980">
            <w:pPr>
              <w:pStyle w:val="27"/>
              <w:jc w:val="left"/>
            </w:pPr>
            <w:r>
              <w:rPr>
                <w:b/>
                <w:bCs/>
              </w:rPr>
              <w:t>低</w:t>
            </w:r>
          </w:p>
        </w:tc>
        <w:tc>
          <w:p w14:paraId="0215112C">
            <w:pPr>
              <w:pStyle w:val="27"/>
              <w:jc w:val="left"/>
            </w:pPr>
            <w:r>
              <w:t>广告变现与流量池运营，为未来装备电商导流</w:t>
            </w:r>
          </w:p>
        </w:tc>
      </w:tr>
    </w:tbl>
    <w:p w14:paraId="0090C60B">
      <w:pPr>
        <w:pStyle w:val="3"/>
      </w:pPr>
      <w:r>
        <w:t>值得特别说明的是，IPSC与IDPA是全球最主流的两大实用射击体系。IPSC在全球105个成员国拥有超过30万名认证射手，IDPA在50多个国家拥有6.5万名正式注册会员。中国自2007年成立CPSA（IPSC中国总会）以来，竞技射击运动发展迅速，目前已拥有50余家IDPA注册俱乐部，每年举办数十场各级别赛事。2024年首届”中华杯”中泰IPSC国际冠军赛吸引了大量国内射手赴泰参赛，显示国内射手群体的活跃度与国际参与度持续提升。</w:t>
      </w:r>
    </w:p>
    <w:bookmarkEnd w:id="6"/>
    <w:p w14:paraId="79883AC5">
      <w:pPr>
        <w:pStyle w:val="5"/>
      </w:pPr>
      <w:bookmarkStart w:id="7" w:name="在什么场景下使用"/>
      <w:r>
        <w:t>2.2 在什么场景下使用</w:t>
      </w:r>
    </w:p>
    <w:p w14:paraId="5317718D">
      <w:pPr>
        <w:pStyle w:val="26"/>
      </w:pPr>
      <w:r>
        <w:t>铭晨的设计围绕射击训练的真实场景展开，覆盖从家庭练习到俱乐部教学、从赛前热身到社交分享的全链路。作为纯软件产品，铭晨在所有场景下均</w:t>
      </w:r>
      <w:r>
        <w:rPr>
          <w:b/>
          <w:bCs/>
        </w:rPr>
        <w:t>无需额外硬件</w:t>
      </w:r>
      <w:r>
        <w:t>，一部手机即可完成全部功能：</w:t>
      </w:r>
    </w:p>
    <w:p w14:paraId="05994B05">
      <w:pPr>
        <w:pStyle w:val="3"/>
      </w:pPr>
      <w:r>
        <w:rPr>
          <w:b/>
          <w:bCs/>
        </w:rPr>
        <w:t>场景一：家中Dry Fire日常练习（高频）</w:t>
      </w:r>
    </w:p>
    <w:p w14:paraId="119D4AD5">
      <w:pPr>
        <w:pStyle w:val="3"/>
      </w:pPr>
      <w:r>
        <w:t>射手晚上利用20分钟进行空枪练习，将手机架在三脚架上对准靶纸，激光训练枪发射的激光脉冲被APP通过手机摄像头实时捕捉。射手可以专注扣动扳机，无需分心观察弹着点——所有数据由系统自动记录并生成分析报告。据专业射击教程指出，使用激光子弹配合APP训练，可以避免”视线离开准星去观察落弹点”这一矛盾，让射手在保持正确瞄准姿势的前提下获得客观反馈。作为纯软件方案，铭晨让用户无需购买任何专用接收器或传感器，</w:t>
      </w:r>
      <w:r>
        <w:rPr>
          <w:b/>
          <w:bCs/>
        </w:rPr>
        <w:t>零额外硬件投入</w:t>
      </w:r>
      <w:r>
        <w:t>即可开启专业级训练。</w:t>
      </w:r>
    </w:p>
    <w:p w14:paraId="1DFCE245">
      <w:pPr>
        <w:pStyle w:val="3"/>
      </w:pPr>
      <w:r>
        <w:rPr>
          <w:b/>
          <w:bCs/>
        </w:rPr>
        <w:t>场景二：俱乐部教练带教（中频）</w:t>
      </w:r>
    </w:p>
    <w:p w14:paraId="221AD91E">
      <w:pPr>
        <w:pStyle w:val="3"/>
      </w:pPr>
      <w:r>
        <w:t>教练面对多名学员时，通过数据看板实时查看每位学员的击发稳定性、准心晃动幅度、弹着点散布等关键指标，用客观数据替代”感觉不对”的经验式指导。一名IPSC国际裁判兼IDPA授权教官在访谈中指出，数字化训练模式能帮助学员”让抽象的射击技术有了具象的改进方向”。铭晨的纯软件特性意味着俱乐部无需采购任何专用设备，学员用自己的手机即可接入教练的数据看板，部署成本几乎为零。</w:t>
      </w:r>
    </w:p>
    <w:p w14:paraId="12653BEE">
      <w:pPr>
        <w:pStyle w:val="3"/>
      </w:pPr>
      <w:r>
        <w:rPr>
          <w:b/>
          <w:bCs/>
        </w:rPr>
        <w:t>场景三：赛前热身与模拟（低频但高价值）</w:t>
      </w:r>
    </w:p>
    <w:p w14:paraId="48CF55F4">
      <w:pPr>
        <w:pStyle w:val="3"/>
      </w:pPr>
      <w:r>
        <w:t>比赛前射手在住宿酒店进行模拟训练，通过APP复现比赛靶场环境，激活肌肉记忆。LaserHIT等竞品已支持1:100比例缩放靶纸，可在10米室内空间模拟1000码狙击距离，铭晨将在此基础上增加赛博风视觉主题，提升赛前心理暗示效果。纯软件方案让射手</w:t>
      </w:r>
      <w:r>
        <w:rPr>
          <w:b/>
          <w:bCs/>
        </w:rPr>
        <w:t>随时随地</w:t>
      </w:r>
      <w:r>
        <w:t>进行赛前热身，不受场地和设备限制。</w:t>
      </w:r>
    </w:p>
    <w:p w14:paraId="35B43165">
      <w:pPr>
        <w:pStyle w:val="3"/>
      </w:pPr>
      <w:r>
        <w:rPr>
          <w:b/>
          <w:bCs/>
        </w:rPr>
        <w:t>场景四：社交分享与圈层认同（病毒传播）</w:t>
      </w:r>
    </w:p>
    <w:p w14:paraId="0EF6454F">
      <w:pPr>
        <w:pStyle w:val="3"/>
      </w:pPr>
      <w:r>
        <w:t>训练结束后自动生成赛博朋克风格战绩卡——暗色背景、霓虹光效、数据瀑布流、动态轨迹图，直接分享至小红书、朋友圈、B站动态。军迷圈层长期缺乏高颜值的身份认同载体，现有分享方式多为”拍一张纸靶照片”，既不酷也无法体现技术细节。铭晨的赛博朋克战绩卡恰好填补了这一社交货币缺口。</w:t>
      </w:r>
    </w:p>
    <w:bookmarkEnd w:id="7"/>
    <w:p w14:paraId="2C224FAA">
      <w:pPr>
        <w:pStyle w:val="5"/>
      </w:pPr>
      <w:bookmarkStart w:id="8" w:name="当前痛点"/>
      <w:r>
        <w:t>2.3 当前痛点</w:t>
      </w:r>
    </w:p>
    <w:tbl>
      <w:tblPr>
        <w:tblStyle w:val="44"/>
        <w:tblW w:w="5000" w:type="pct"/>
        <w:tblInd w:w="0" w:type="dxa"/>
        <w:tblLayout w:type="fixed"/>
        <w:tblCellMar>
          <w:top w:w="0" w:type="dxa"/>
          <w:left w:w="108" w:type="dxa"/>
          <w:bottom w:w="0" w:type="dxa"/>
          <w:right w:w="108" w:type="dxa"/>
        </w:tblCellMar>
      </w:tblPr>
      <w:tblGrid>
        <w:gridCol w:w="2043"/>
        <w:gridCol w:w="3406"/>
        <w:gridCol w:w="3406"/>
      </w:tblGrid>
      <w:tr w14:paraId="63EEB55A">
        <w:tblPrEx>
          <w:tblCellMar>
            <w:top w:w="0" w:type="dxa"/>
            <w:left w:w="108" w:type="dxa"/>
            <w:bottom w:w="0" w:type="dxa"/>
            <w:right w:w="108" w:type="dxa"/>
          </w:tblCellMar>
        </w:tblPrEx>
        <w:trPr>
          <w:tblHeader/>
        </w:trPr>
        <w:tc>
          <w:p w14:paraId="1D466E6B">
            <w:pPr>
              <w:pStyle w:val="27"/>
              <w:jc w:val="left"/>
            </w:pPr>
            <w:r>
              <w:t>场景</w:t>
            </w:r>
          </w:p>
        </w:tc>
        <w:tc>
          <w:p w14:paraId="1764214D">
            <w:pPr>
              <w:pStyle w:val="27"/>
              <w:jc w:val="left"/>
            </w:pPr>
            <w:r>
              <w:t>现有方案</w:t>
            </w:r>
          </w:p>
        </w:tc>
        <w:tc>
          <w:p w14:paraId="30C863B0">
            <w:pPr>
              <w:pStyle w:val="27"/>
              <w:jc w:val="left"/>
            </w:pPr>
            <w:r>
              <w:t>核心痛点</w:t>
            </w:r>
          </w:p>
        </w:tc>
      </w:tr>
      <w:tr w14:paraId="050E5BD4">
        <w:tblPrEx>
          <w:tblCellMar>
            <w:top w:w="0" w:type="dxa"/>
            <w:left w:w="108" w:type="dxa"/>
            <w:bottom w:w="0" w:type="dxa"/>
            <w:right w:w="108" w:type="dxa"/>
          </w:tblCellMar>
        </w:tblPrEx>
        <w:tc>
          <w:p w14:paraId="21589656">
            <w:pPr>
              <w:pStyle w:val="27"/>
              <w:jc w:val="left"/>
            </w:pPr>
            <w:r>
              <w:rPr>
                <w:b/>
                <w:bCs/>
              </w:rPr>
              <w:t>家中Dry Fire练习</w:t>
            </w:r>
          </w:p>
        </w:tc>
        <w:tc>
          <w:p w14:paraId="2757E7D2">
            <w:pPr>
              <w:pStyle w:val="27"/>
              <w:jc w:val="left"/>
            </w:pPr>
            <w:r>
              <w:t>对着镜子打或凭感觉扣扳机</w:t>
            </w:r>
          </w:p>
        </w:tc>
        <w:tc>
          <w:p w14:paraId="297E8D4E">
            <w:pPr>
              <w:pStyle w:val="27"/>
              <w:jc w:val="left"/>
            </w:pPr>
            <w:r>
              <w:t>无法量化准心晃动幅度，初学者甚至无法判断自己是否在进步，“练了白练”</w:t>
            </w:r>
          </w:p>
        </w:tc>
      </w:tr>
      <w:tr w14:paraId="535C82C2">
        <w:tblPrEx>
          <w:tblCellMar>
            <w:top w:w="0" w:type="dxa"/>
            <w:left w:w="108" w:type="dxa"/>
            <w:bottom w:w="0" w:type="dxa"/>
            <w:right w:w="108" w:type="dxa"/>
          </w:tblCellMar>
        </w:tblPrEx>
        <w:tc>
          <w:p w14:paraId="7DF45DF9">
            <w:pPr>
              <w:pStyle w:val="27"/>
              <w:jc w:val="left"/>
            </w:pPr>
            <w:r>
              <w:rPr>
                <w:b/>
                <w:bCs/>
              </w:rPr>
              <w:t>激光训练+进口APP</w:t>
            </w:r>
          </w:p>
        </w:tc>
        <w:tc>
          <w:p w14:paraId="3F0D0678">
            <w:pPr>
              <w:pStyle w:val="27"/>
              <w:jc w:val="left"/>
            </w:pPr>
            <w:r>
              <w:t>LaserHIT/iTarget Pro/Strikeman</w:t>
            </w:r>
          </w:p>
        </w:tc>
        <w:tc>
          <w:p w14:paraId="0F2C40A0">
            <w:pPr>
              <w:pStyle w:val="27"/>
              <w:jc w:val="left"/>
            </w:pPr>
            <w:r>
              <w:t>功能基础、UI简陋，缺乏过程数据可视化；进口产品定价高，且未针对国内用户习惯优化</w:t>
            </w:r>
          </w:p>
        </w:tc>
      </w:tr>
      <w:tr w14:paraId="705E485D">
        <w:tblPrEx>
          <w:tblCellMar>
            <w:top w:w="0" w:type="dxa"/>
            <w:left w:w="108" w:type="dxa"/>
            <w:bottom w:w="0" w:type="dxa"/>
            <w:right w:w="108" w:type="dxa"/>
          </w:tblCellMar>
        </w:tblPrEx>
        <w:tc>
          <w:p w14:paraId="1D24BE80">
            <w:pPr>
              <w:pStyle w:val="27"/>
              <w:jc w:val="left"/>
            </w:pPr>
            <w:r>
              <w:rPr>
                <w:b/>
                <w:bCs/>
              </w:rPr>
              <w:t>俱乐部教学</w:t>
            </w:r>
          </w:p>
        </w:tc>
        <w:tc>
          <w:p w14:paraId="0E4A9543">
            <w:pPr>
              <w:pStyle w:val="27"/>
              <w:jc w:val="left"/>
            </w:pPr>
            <w:r>
              <w:t>纸靶+人工报靶+口头指导</w:t>
            </w:r>
          </w:p>
        </w:tc>
        <w:tc>
          <w:p w14:paraId="039FD9DC">
            <w:pPr>
              <w:pStyle w:val="27"/>
              <w:jc w:val="left"/>
            </w:pPr>
            <w:r>
              <w:t>效率低下，一名教练同一时段只能盯1-2人；训练档案纸质化，无法追踪长期进步</w:t>
            </w:r>
          </w:p>
        </w:tc>
      </w:tr>
      <w:tr w14:paraId="6AD1F8F4">
        <w:tblPrEx>
          <w:tblCellMar>
            <w:top w:w="0" w:type="dxa"/>
            <w:left w:w="108" w:type="dxa"/>
            <w:bottom w:w="0" w:type="dxa"/>
            <w:right w:w="108" w:type="dxa"/>
          </w:tblCellMar>
        </w:tblPrEx>
        <w:tc>
          <w:p w14:paraId="4779AA9C">
            <w:pPr>
              <w:pStyle w:val="27"/>
              <w:jc w:val="left"/>
            </w:pPr>
            <w:r>
              <w:rPr>
                <w:b/>
                <w:bCs/>
              </w:rPr>
              <w:t>训练数据管理</w:t>
            </w:r>
          </w:p>
        </w:tc>
        <w:tc>
          <w:p w14:paraId="71F0F015">
            <w:pPr>
              <w:pStyle w:val="27"/>
              <w:jc w:val="left"/>
            </w:pPr>
            <w:r>
              <w:t>手写笔记本或Excel表格</w:t>
            </w:r>
          </w:p>
        </w:tc>
        <w:tc>
          <w:p w14:paraId="3D9527B9">
            <w:pPr>
              <w:pStyle w:val="27"/>
              <w:jc w:val="left"/>
            </w:pPr>
            <w:r>
              <w:t>数据易丢失，无法跨设备同步，更无法生成直观的趋势分析图表</w:t>
            </w:r>
          </w:p>
        </w:tc>
      </w:tr>
      <w:tr w14:paraId="6080C406">
        <w:tblPrEx>
          <w:tblCellMar>
            <w:top w:w="0" w:type="dxa"/>
            <w:left w:w="108" w:type="dxa"/>
            <w:bottom w:w="0" w:type="dxa"/>
            <w:right w:w="108" w:type="dxa"/>
          </w:tblCellMar>
        </w:tblPrEx>
        <w:tc>
          <w:p w14:paraId="20315179">
            <w:pPr>
              <w:pStyle w:val="27"/>
              <w:jc w:val="left"/>
            </w:pPr>
            <w:r>
              <w:rPr>
                <w:b/>
                <w:bCs/>
              </w:rPr>
              <w:t>社交分享</w:t>
            </w:r>
          </w:p>
        </w:tc>
        <w:tc>
          <w:p w14:paraId="7CDB2D19">
            <w:pPr>
              <w:pStyle w:val="27"/>
              <w:jc w:val="left"/>
            </w:pPr>
            <w:r>
              <w:t>拍摄纸靶照片或录屏进口APP</w:t>
            </w:r>
          </w:p>
        </w:tc>
        <w:tc>
          <w:p w14:paraId="334AA059">
            <w:pPr>
              <w:pStyle w:val="27"/>
              <w:jc w:val="left"/>
            </w:pPr>
            <w:r>
              <w:t>视觉效果差，缺乏圈层身份认同感，难以在军迷社群形成传播效应</w:t>
            </w:r>
          </w:p>
        </w:tc>
      </w:tr>
    </w:tbl>
    <w:p w14:paraId="360C82A8">
      <w:r>
        <w:pict>
          <v:rect id="_x0000_i1027" o:spt="1" style="height:1.5pt;width:0pt;" coordsize="21600,21600" o:hr="t" o:hrstd="t" o:hralign="center">
            <v:path/>
            <v:fill focussize="0,0"/>
            <v:stroke/>
            <v:imagedata o:title=""/>
            <o:lock v:ext="edit"/>
            <w10:wrap type="none"/>
            <w10:anchorlock/>
          </v:rect>
        </w:pict>
      </w:r>
    </w:p>
    <w:bookmarkEnd w:id="5"/>
    <w:bookmarkEnd w:id="8"/>
    <w:p w14:paraId="37900824">
      <w:pPr>
        <w:pStyle w:val="4"/>
      </w:pPr>
      <w:bookmarkStart w:id="9" w:name="三价值与意义"/>
      <w:r>
        <w:t>三、价值与意义</w:t>
      </w:r>
    </w:p>
    <w:p w14:paraId="2A170965">
      <w:pPr>
        <w:pStyle w:val="5"/>
      </w:pPr>
      <w:bookmarkStart w:id="10" w:name="商业价值"/>
      <w:r>
        <w:t>3.1 商业价值</w:t>
      </w:r>
    </w:p>
    <w:p w14:paraId="0BFA793E">
      <w:pPr>
        <w:pStyle w:val="26"/>
      </w:pPr>
      <w:r>
        <w:rPr>
          <w:b/>
          <w:bCs/>
        </w:rPr>
        <w:t>填补国内射击科技产品空白。</w:t>
      </w:r>
      <w:r>
        <w:t xml:space="preserve"> 当前国内射击数字化领域仅有速得尔科技等少数企业布局专业电子靶系统（其产品已获国际射联ISSF一级认证并出口海外），消费级激光训练APP市场几乎被进口产品垄断。Mantis Laser Academy、LaserHIT、iTarget Pro、Strikeman等海外产品虽已成熟，但存在价格高、界面未汉化、不符合国内用户审美等痛点。铭晨以</w:t>
      </w:r>
      <w:r>
        <w:rPr>
          <w:b/>
          <w:bCs/>
        </w:rPr>
        <w:t>纯软件+赛博朋克视觉</w:t>
      </w:r>
      <w:r>
        <w:t>的组合形成差异化定位：零硬件成本降低用户尝试门槛，独特的视觉风格避开与进口产品的正面价格战，直接瞄准国内年轻射手和Wargame玩家的审美偏好。</w:t>
      </w:r>
    </w:p>
    <w:p w14:paraId="3A687057">
      <w:pPr>
        <w:pStyle w:val="3"/>
      </w:pPr>
      <w:r>
        <w:rPr>
          <w:b/>
          <w:bCs/>
        </w:rPr>
        <w:t>清晰的商业模式：</w:t>
      </w:r>
    </w:p>
    <w:tbl>
      <w:tblPr>
        <w:tblStyle w:val="44"/>
        <w:tblW w:w="3333" w:type="pct"/>
        <w:tblInd w:w="0" w:type="dxa"/>
        <w:tblLayout w:type="fixed"/>
        <w:tblCellMar>
          <w:top w:w="0" w:type="dxa"/>
          <w:left w:w="108" w:type="dxa"/>
          <w:bottom w:w="0" w:type="dxa"/>
          <w:right w:w="108" w:type="dxa"/>
        </w:tblCellMar>
      </w:tblPr>
      <w:tblGrid>
        <w:gridCol w:w="2952"/>
        <w:gridCol w:w="2952"/>
      </w:tblGrid>
      <w:tr w14:paraId="4B9DDE42">
        <w:trPr>
          <w:tblHeader/>
        </w:trPr>
        <w:tc>
          <w:p w14:paraId="709C5D5A">
            <w:pPr>
              <w:pStyle w:val="27"/>
              <w:jc w:val="left"/>
            </w:pPr>
            <w:r>
              <w:t>收入来源</w:t>
            </w:r>
          </w:p>
        </w:tc>
        <w:tc>
          <w:p w14:paraId="547C1DE9">
            <w:pPr>
              <w:pStyle w:val="27"/>
              <w:jc w:val="left"/>
            </w:pPr>
            <w:r>
              <w:t>模式说明</w:t>
            </w:r>
          </w:p>
        </w:tc>
      </w:tr>
      <w:tr w14:paraId="417407A7">
        <w:tblPrEx>
          <w:tblCellMar>
            <w:top w:w="0" w:type="dxa"/>
            <w:left w:w="108" w:type="dxa"/>
            <w:bottom w:w="0" w:type="dxa"/>
            <w:right w:w="108" w:type="dxa"/>
          </w:tblCellMar>
        </w:tblPrEx>
        <w:tc>
          <w:p w14:paraId="5F517FC8">
            <w:pPr>
              <w:pStyle w:val="27"/>
              <w:jc w:val="left"/>
            </w:pPr>
            <w:r>
              <w:rPr>
                <w:b/>
                <w:bCs/>
              </w:rPr>
              <w:t>C端订阅</w:t>
            </w:r>
          </w:p>
        </w:tc>
        <w:tc>
          <w:p w14:paraId="0E38507F">
            <w:pPr>
              <w:pStyle w:val="27"/>
              <w:jc w:val="left"/>
            </w:pPr>
            <w:r>
              <w:t>高级分析功能（轨迹回溯、趋势报告、无限历史记录）</w:t>
            </w:r>
          </w:p>
        </w:tc>
      </w:tr>
      <w:tr w14:paraId="392D0BB0">
        <w:tblPrEx>
          <w:tblCellMar>
            <w:top w:w="0" w:type="dxa"/>
            <w:left w:w="108" w:type="dxa"/>
            <w:bottom w:w="0" w:type="dxa"/>
            <w:right w:w="108" w:type="dxa"/>
          </w:tblCellMar>
        </w:tblPrEx>
        <w:tc>
          <w:p w14:paraId="3FFCFB4C">
            <w:pPr>
              <w:pStyle w:val="27"/>
              <w:jc w:val="left"/>
            </w:pPr>
            <w:r>
              <w:rPr>
                <w:b/>
                <w:bCs/>
              </w:rPr>
              <w:t>皮肤/主题包</w:t>
            </w:r>
          </w:p>
        </w:tc>
        <w:tc>
          <w:p w14:paraId="541B8321">
            <w:pPr>
              <w:pStyle w:val="27"/>
              <w:jc w:val="left"/>
            </w:pPr>
            <w:r>
              <w:t>赛博朋克风、军事风、科幻风等UI主题</w:t>
            </w:r>
          </w:p>
        </w:tc>
      </w:tr>
      <w:tr w14:paraId="211AFE19">
        <w:tblPrEx>
          <w:tblCellMar>
            <w:top w:w="0" w:type="dxa"/>
            <w:left w:w="108" w:type="dxa"/>
            <w:bottom w:w="0" w:type="dxa"/>
            <w:right w:w="108" w:type="dxa"/>
          </w:tblCellMar>
        </w:tblPrEx>
        <w:tc>
          <w:p w14:paraId="0C2591E2">
            <w:pPr>
              <w:pStyle w:val="27"/>
              <w:jc w:val="left"/>
            </w:pPr>
            <w:r>
              <w:rPr>
                <w:b/>
                <w:bCs/>
              </w:rPr>
              <w:t>B端SaaS</w:t>
            </w:r>
          </w:p>
        </w:tc>
        <w:tc>
          <w:p w14:paraId="62CBFCA3">
            <w:pPr>
              <w:pStyle w:val="27"/>
              <w:jc w:val="left"/>
            </w:pPr>
            <w:r>
              <w:t>俱乐部会员管理系统+教练数据看板+多账号管理</w:t>
            </w:r>
          </w:p>
        </w:tc>
      </w:tr>
      <w:tr w14:paraId="36D07C7B">
        <w:tblPrEx>
          <w:tblCellMar>
            <w:top w:w="0" w:type="dxa"/>
            <w:left w:w="108" w:type="dxa"/>
            <w:bottom w:w="0" w:type="dxa"/>
            <w:right w:w="108" w:type="dxa"/>
          </w:tblCellMar>
        </w:tblPrEx>
        <w:tc>
          <w:p w14:paraId="01244029">
            <w:pPr>
              <w:pStyle w:val="27"/>
              <w:jc w:val="left"/>
            </w:pPr>
            <w:r>
              <w:rPr>
                <w:b/>
                <w:bCs/>
              </w:rPr>
              <w:t>软件预装合作</w:t>
            </w:r>
          </w:p>
        </w:tc>
        <w:tc>
          <w:p w14:paraId="52491917">
            <w:pPr>
              <w:pStyle w:val="27"/>
              <w:jc w:val="left"/>
            </w:pPr>
            <w:r>
              <w:t>与激光训练枪厂商合作预装铭晨APP，授权费模式</w:t>
            </w:r>
          </w:p>
        </w:tc>
      </w:tr>
      <w:bookmarkEnd w:id="10"/>
    </w:tbl>
    <w:p w14:paraId="2C94D05F">
      <w:pPr>
        <w:pStyle w:val="5"/>
      </w:pPr>
      <w:bookmarkStart w:id="11" w:name="效率提升"/>
      <w:r>
        <w:t>3.2 效率提升</w:t>
      </w:r>
    </w:p>
    <w:tbl>
      <w:tblPr>
        <w:tblStyle w:val="44"/>
        <w:tblW w:w="5000" w:type="pct"/>
        <w:tblInd w:w="0" w:type="dxa"/>
        <w:tblLayout w:type="fixed"/>
        <w:tblCellMar>
          <w:top w:w="0" w:type="dxa"/>
          <w:left w:w="108" w:type="dxa"/>
          <w:bottom w:w="0" w:type="dxa"/>
          <w:right w:w="108" w:type="dxa"/>
        </w:tblCellMar>
      </w:tblPr>
      <w:tblGrid>
        <w:gridCol w:w="2043"/>
        <w:gridCol w:w="3406"/>
        <w:gridCol w:w="3406"/>
      </w:tblGrid>
      <w:tr w14:paraId="566C7F9A">
        <w:tblPrEx>
          <w:tblCellMar>
            <w:top w:w="0" w:type="dxa"/>
            <w:left w:w="108" w:type="dxa"/>
            <w:bottom w:w="0" w:type="dxa"/>
            <w:right w:w="108" w:type="dxa"/>
          </w:tblCellMar>
        </w:tblPrEx>
        <w:trPr>
          <w:tblHeader/>
        </w:trPr>
        <w:tc>
          <w:p w14:paraId="443E00E0">
            <w:pPr>
              <w:pStyle w:val="27"/>
              <w:jc w:val="left"/>
            </w:pPr>
            <w:r>
              <w:t>对象</w:t>
            </w:r>
          </w:p>
        </w:tc>
        <w:tc>
          <w:p w14:paraId="70BB39A2">
            <w:pPr>
              <w:pStyle w:val="27"/>
              <w:jc w:val="left"/>
            </w:pPr>
            <w:r>
              <w:t>提升维度</w:t>
            </w:r>
          </w:p>
        </w:tc>
        <w:tc>
          <w:p w14:paraId="58B386AE">
            <w:pPr>
              <w:pStyle w:val="27"/>
              <w:jc w:val="left"/>
            </w:pPr>
            <w:r>
              <w:t>具体表现</w:t>
            </w:r>
          </w:p>
        </w:tc>
      </w:tr>
      <w:tr w14:paraId="5C022342">
        <w:tblPrEx>
          <w:tblCellMar>
            <w:top w:w="0" w:type="dxa"/>
            <w:left w:w="108" w:type="dxa"/>
            <w:bottom w:w="0" w:type="dxa"/>
            <w:right w:w="108" w:type="dxa"/>
          </w:tblCellMar>
        </w:tblPrEx>
        <w:tc>
          <w:p w14:paraId="58BE836C">
            <w:pPr>
              <w:pStyle w:val="27"/>
              <w:jc w:val="left"/>
            </w:pPr>
            <w:r>
              <w:rPr>
                <w:b/>
                <w:bCs/>
              </w:rPr>
              <w:t>个人射手</w:t>
            </w:r>
          </w:p>
        </w:tc>
        <w:tc>
          <w:p w14:paraId="574F71E5">
            <w:pPr>
              <w:pStyle w:val="27"/>
              <w:jc w:val="left"/>
            </w:pPr>
            <w:r>
              <w:t>找问题时间缩短</w:t>
            </w:r>
          </w:p>
        </w:tc>
        <w:tc>
          <w:p w14:paraId="634BC825">
            <w:pPr>
              <w:pStyle w:val="27"/>
              <w:jc w:val="left"/>
            </w:pPr>
            <w:r>
              <w:t>从”凭感觉摸索”到”看数据定位”，瞄准缺陷识别时间缩短50%以上。激光训练系统让射手精确知晓弹着点偏差方向与幅度</w:t>
            </w:r>
          </w:p>
        </w:tc>
      </w:tr>
      <w:tr w14:paraId="1374131A">
        <w:tblPrEx>
          <w:tblCellMar>
            <w:top w:w="0" w:type="dxa"/>
            <w:left w:w="108" w:type="dxa"/>
            <w:bottom w:w="0" w:type="dxa"/>
            <w:right w:w="108" w:type="dxa"/>
          </w:tblCellMar>
        </w:tblPrEx>
        <w:tc>
          <w:p w14:paraId="3320D425">
            <w:pPr>
              <w:pStyle w:val="27"/>
              <w:jc w:val="left"/>
            </w:pPr>
            <w:r>
              <w:rPr>
                <w:b/>
                <w:bCs/>
              </w:rPr>
              <w:t>俱乐部教练</w:t>
            </w:r>
          </w:p>
        </w:tc>
        <w:tc>
          <w:p w14:paraId="6D01F6DD">
            <w:pPr>
              <w:pStyle w:val="27"/>
              <w:jc w:val="left"/>
            </w:pPr>
            <w:r>
              <w:t>人效提升</w:t>
            </w:r>
          </w:p>
        </w:tc>
        <w:tc>
          <w:p w14:paraId="0AB39B9D">
            <w:pPr>
              <w:pStyle w:val="27"/>
              <w:jc w:val="left"/>
            </w:pPr>
            <w:r>
              <w:t>数据看板替代”盯人”模式，一名教练可同时指导5-8名学员，人效提升3倍以上。学员训练档案数字化后，续费率可显著提升</w:t>
            </w:r>
          </w:p>
        </w:tc>
      </w:tr>
      <w:tr w14:paraId="0A63E722">
        <w:tblPrEx>
          <w:tblCellMar>
            <w:top w:w="0" w:type="dxa"/>
            <w:left w:w="108" w:type="dxa"/>
            <w:bottom w:w="0" w:type="dxa"/>
            <w:right w:w="108" w:type="dxa"/>
          </w:tblCellMar>
        </w:tblPrEx>
        <w:tc>
          <w:p w14:paraId="55EF832B">
            <w:pPr>
              <w:pStyle w:val="27"/>
              <w:jc w:val="left"/>
            </w:pPr>
            <w:r>
              <w:rPr>
                <w:b/>
                <w:bCs/>
              </w:rPr>
              <w:t>俱乐部运营</w:t>
            </w:r>
          </w:p>
        </w:tc>
        <w:tc>
          <w:p w14:paraId="6B42302B">
            <w:pPr>
              <w:pStyle w:val="27"/>
              <w:jc w:val="left"/>
            </w:pPr>
            <w:r>
              <w:t>部署成本降低</w:t>
            </w:r>
          </w:p>
        </w:tc>
        <w:tc>
          <w:p w14:paraId="3AFD6559">
            <w:pPr>
              <w:pStyle w:val="27"/>
              <w:jc w:val="left"/>
            </w:pPr>
            <w:r>
              <w:t>纯软件方案无需采购任何专用硬件设备，学员自带手机即可使用，俱乐部零投入即可接入数字化教学体系</w:t>
            </w:r>
          </w:p>
        </w:tc>
      </w:tr>
      <w:bookmarkEnd w:id="11"/>
    </w:tbl>
    <w:p w14:paraId="094FCA14">
      <w:pPr>
        <w:pStyle w:val="5"/>
      </w:pPr>
      <w:bookmarkStart w:id="12" w:name="社会价值"/>
      <w:r>
        <w:t>3.3 社会价值</w:t>
      </w:r>
    </w:p>
    <w:p w14:paraId="32B8C59A">
      <w:pPr>
        <w:pStyle w:val="26"/>
      </w:pPr>
      <w:r>
        <w:rPr>
          <w:b/>
          <w:bCs/>
        </w:rPr>
        <w:t>安全导向：降低实弹训练风险。</w:t>
      </w:r>
      <w:r>
        <w:t xml:space="preserve"> Dry Fire激光训练让射手在无弹药环境下完成绝大部分基础练习，减少因实弹空枪练习（清枪不彻底）导致的走火事故风险。专业射击培训始终将”安全”作为第一主题，铭晨通过推广激光训练进一步筑牢安全防线。</w:t>
      </w:r>
    </w:p>
    <w:p w14:paraId="3139E514">
      <w:pPr>
        <w:pStyle w:val="3"/>
      </w:pPr>
      <w:r>
        <w:rPr>
          <w:b/>
          <w:bCs/>
        </w:rPr>
        <w:t>运动普及：降低射击运动门槛。</w:t>
      </w:r>
      <w:r>
        <w:t xml:space="preserve"> 国内实弹射击场受限于严格的审批政策和高昂的运营成本，数量极少（2017年全国仅约98家民营射击场），且多数集中在一线城市。铭晨作为纯软件产品，让用户</w:t>
      </w:r>
      <w:r>
        <w:rPr>
          <w:b/>
          <w:bCs/>
        </w:rPr>
        <w:t>无需前往靶场、无需购买昂贵设备</w:t>
      </w:r>
      <w:r>
        <w:t>，仅需一部手机+一支百元级激光训练枪即可在家练习，将射击运动的入门门槛降至大众可承受范围，助力这一小众运动走向大众化。</w:t>
      </w:r>
    </w:p>
    <w:p w14:paraId="5F03DB1D">
      <w:pPr>
        <w:pStyle w:val="3"/>
      </w:pPr>
      <w:r>
        <w:rPr>
          <w:b/>
          <w:bCs/>
        </w:rPr>
        <w:t>国产替代：对标国际竞品，打造本土品牌。</w:t>
      </w:r>
      <w:r>
        <w:t xml:space="preserve"> 全球射击训练数字化市场正高速增长——智能靶标细分市场年复合增长率达9.73%，专业射击场CAGR达9.01%。铭晨对标Mantis Laser Academy、LaserHIT等美国产品，以</w:t>
      </w:r>
      <w:r>
        <w:rPr>
          <w:b/>
          <w:bCs/>
        </w:rPr>
        <w:t>纯软件零硬件</w:t>
      </w:r>
      <w:r>
        <w:t>的轻量化形态、本土化的视觉设计、更符合国内用户习惯的功能逻辑、更具竞争力的价格，填补国内消费级射击科技产品的空白，推动中国射击运动的数字化进程。</w:t>
      </w:r>
    </w:p>
    <w:bookmarkEnd w:id="0"/>
    <w:bookmarkEnd w:id="9"/>
    <w:bookmarkEnd w:id="12"/>
    <w:sectPr>
      <w:headerReference r:id="rId6" w:type="first"/>
      <w:footerReference r:id="rId9" w:type="first"/>
      <w:footerReference r:id="rId7" w:type="default"/>
      <w:headerReference r:id="rId5" w:type="even"/>
      <w:footerReference r:id="rId8" w:type="even"/>
      <w:footnotePr>
        <w:numRestart w:val="eachSect"/>
      </w:footnotePr>
      <w:pgSz w:w="12240" w:h="15840"/>
      <w:pgMar w:top="1440" w:right="1800" w:bottom="1440" w:left="1800" w:header="720" w:footer="10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UI Variable Display"/>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2CA6B">
    <w:pPr>
      <w:pStyle w:val="16"/>
      <w:jc w:val="right"/>
      <w:rPr>
        <w:sz w:val="24"/>
        <w:szCs w:val="24"/>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E883D">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EDBFE">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D2CD9">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5F50F">
    <w:pPr>
      <w:pStyle w:val="1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2"/>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 w:val="0B4A3CFC"/>
    <w:rsid w:val="10E90416"/>
    <w:rsid w:val="12734EC7"/>
    <w:rsid w:val="2DDC0024"/>
    <w:rsid w:val="2EA20A5F"/>
    <w:rsid w:val="30FB030B"/>
    <w:rsid w:val="37A15870"/>
    <w:rsid w:val="45D83342"/>
    <w:rsid w:val="45F05E27"/>
    <w:rsid w:val="48873598"/>
    <w:rsid w:val="50CE28D9"/>
    <w:rsid w:val="5B5465E5"/>
    <w:rsid w:val="630F5963"/>
    <w:rsid w:val="6C511BD5"/>
    <w:rsid w:val="76104E71"/>
    <w:rsid w:val="77660B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uiPriority w:val="0"/>
    <w:pPr>
      <w:tabs>
        <w:tab w:val="center" w:pos="4153"/>
        <w:tab w:val="right" w:pos="8306"/>
      </w:tabs>
      <w:snapToGrid w:val="0"/>
      <w:spacing w:line="240" w:lineRule="auto"/>
    </w:pPr>
    <w:rPr>
      <w:sz w:val="18"/>
      <w:szCs w:val="18"/>
    </w:rPr>
  </w:style>
  <w:style w:type="paragraph" w:styleId="17">
    <w:name w:val="header"/>
    <w:basedOn w:val="1"/>
    <w:link w:val="56"/>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uiPriority w:val="0"/>
    <w:rPr>
      <w:color w:val="156082" w:themeColor="accent1"/>
    </w:rPr>
  </w:style>
  <w:style w:type="character" w:customStyle="1" w:styleId="24">
    <w:name w:val="题注 字符"/>
    <w:basedOn w:val="22"/>
    <w:link w:val="12"/>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uiPriority w:val="10"/>
    <w:rPr>
      <w:rFonts w:ascii="Arial" w:hAnsi="Arial" w:eastAsia="黑体" w:cs="Times New Roman (标题 CS)"/>
      <w:sz w:val="30"/>
      <w:szCs w:val="56"/>
    </w:rPr>
  </w:style>
  <w:style w:type="character" w:customStyle="1" w:styleId="29">
    <w:name w:val="副标题 字符"/>
    <w:basedOn w:val="22"/>
    <w:link w:val="18"/>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uiPriority w:val="9"/>
    <w:rPr>
      <w:rFonts w:ascii="Arial" w:hAnsi="Arial" w:eastAsia="黑体" w:cs="Times New Roman (标题 CS)"/>
      <w:sz w:val="30"/>
      <w:szCs w:val="40"/>
    </w:rPr>
  </w:style>
  <w:style w:type="character" w:customStyle="1" w:styleId="35">
    <w:name w:val="标题 2 字符"/>
    <w:basedOn w:val="22"/>
    <w:link w:val="4"/>
    <w:semiHidden/>
    <w:uiPriority w:val="9"/>
    <w:rPr>
      <w:rFonts w:ascii="Arial" w:hAnsi="Arial" w:eastAsia="黑体" w:cs="Times New Roman (标题 CS)"/>
      <w:sz w:val="28"/>
      <w:szCs w:val="32"/>
    </w:rPr>
  </w:style>
  <w:style w:type="character" w:customStyle="1" w:styleId="36">
    <w:name w:val="标题 3 字符"/>
    <w:basedOn w:val="22"/>
    <w:link w:val="5"/>
    <w:semiHidden/>
    <w:uiPriority w:val="9"/>
    <w:rPr>
      <w:rFonts w:ascii="Arial" w:hAnsi="Arial" w:eastAsia="黑体" w:cs="Times New Roman (标题 CS)"/>
      <w:sz w:val="26"/>
      <w:szCs w:val="28"/>
    </w:rPr>
  </w:style>
  <w:style w:type="character" w:customStyle="1" w:styleId="37">
    <w:name w:val="标题 4 字符"/>
    <w:basedOn w:val="22"/>
    <w:link w:val="6"/>
    <w:uiPriority w:val="9"/>
    <w:rPr>
      <w:rFonts w:ascii="Arial" w:hAnsi="Arial" w:eastAsia="黑体" w:cs="Times New Roman (标题 CS)"/>
      <w:color w:val="0F4761" w:themeColor="accent1" w:themeShade="BF"/>
      <w:sz w:val="26"/>
      <w:szCs w:val="28"/>
    </w:rPr>
  </w:style>
  <w:style w:type="character" w:customStyle="1" w:styleId="38">
    <w:name w:val="标题 5 字符"/>
    <w:basedOn w:val="22"/>
    <w:link w:val="7"/>
    <w:uiPriority w:val="9"/>
    <w:rPr>
      <w:rFonts w:ascii="Arial" w:hAnsi="Arial" w:eastAsia="黑体" w:cs="Times New Roman (标题 CS)"/>
      <w:color w:val="0F4761" w:themeColor="accent1" w:themeShade="BF"/>
      <w:sz w:val="26"/>
      <w:szCs w:val="28"/>
    </w:rPr>
  </w:style>
  <w:style w:type="character" w:customStyle="1" w:styleId="39">
    <w:name w:val="标题 6 字符"/>
    <w:basedOn w:val="22"/>
    <w:link w:val="8"/>
    <w:uiPriority w:val="9"/>
    <w:rPr>
      <w:rFonts w:ascii="Arial" w:hAnsi="Arial" w:eastAsia="黑体" w:cs="Times New Roman (标题 CS)"/>
      <w:color w:val="0F4761" w:themeColor="accent1" w:themeShade="BF"/>
      <w:sz w:val="26"/>
      <w:szCs w:val="28"/>
    </w:rPr>
  </w:style>
  <w:style w:type="character" w:customStyle="1" w:styleId="40">
    <w:name w:val="标题 7 字符"/>
    <w:basedOn w:val="22"/>
    <w:link w:val="9"/>
    <w:uiPriority w:val="9"/>
    <w:rPr>
      <w:rFonts w:ascii="Arial" w:hAnsi="Arial" w:eastAsia="黑体" w:cs="Times New Roman (标题 CS)"/>
      <w:color w:val="0F4761" w:themeColor="accent1" w:themeShade="BF"/>
      <w:sz w:val="26"/>
      <w:szCs w:val="28"/>
    </w:rPr>
  </w:style>
  <w:style w:type="character" w:customStyle="1" w:styleId="41">
    <w:name w:val="标题 8 字符"/>
    <w:basedOn w:val="22"/>
    <w:link w:val="10"/>
    <w:uiPriority w:val="9"/>
    <w:rPr>
      <w:rFonts w:ascii="Arial" w:hAnsi="Arial" w:eastAsia="黑体" w:cs="Times New Roman (标题 CS)"/>
      <w:color w:val="0F4761" w:themeColor="accent1" w:themeShade="BF"/>
      <w:sz w:val="26"/>
      <w:szCs w:val="28"/>
    </w:rPr>
  </w:style>
  <w:style w:type="character" w:customStyle="1" w:styleId="42">
    <w:name w:val="标题 9 字符"/>
    <w:basedOn w:val="22"/>
    <w:link w:val="11"/>
    <w:uiPriority w:val="9"/>
    <w:rPr>
      <w:rFonts w:ascii="Arial" w:hAnsi="Arial" w:eastAsia="黑体" w:cs="Times New Roman (标题 CS)"/>
      <w:color w:val="0F4761"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5">
    <w:name w:val="Definition Term"/>
    <w:basedOn w:val="1"/>
    <w:next w:val="46"/>
    <w:uiPriority w:val="0"/>
    <w:pPr>
      <w:keepNext/>
      <w:keepLines/>
    </w:pPr>
    <w:rPr>
      <w:b/>
    </w:rPr>
  </w:style>
  <w:style w:type="paragraph" w:customStyle="1" w:styleId="46">
    <w:name w:val="Definition"/>
    <w:basedOn w:val="1"/>
    <w:uiPriority w:val="0"/>
  </w:style>
  <w:style w:type="paragraph" w:customStyle="1" w:styleId="47">
    <w:name w:val="Table Caption"/>
    <w:basedOn w:val="12"/>
    <w:uiPriority w:val="0"/>
    <w:pPr>
      <w:keepNext/>
      <w:spacing w:after="0"/>
      <w:jc w:val="center"/>
    </w:pPr>
    <w:rPr>
      <w:i w:val="0"/>
      <w:sz w:val="20"/>
    </w:rPr>
  </w:style>
  <w:style w:type="paragraph" w:customStyle="1" w:styleId="48">
    <w:name w:val="Image Caption"/>
    <w:basedOn w:val="12"/>
    <w:uiPriority w:val="0"/>
    <w:pPr>
      <w:spacing w:after="0"/>
      <w:jc w:val="center"/>
    </w:pPr>
    <w:rPr>
      <w:i w:val="0"/>
      <w:sz w:val="20"/>
    </w:rPr>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link w:val="51"/>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uiPriority w:val="0"/>
    <w:pPr>
      <w:ind w:firstLine="420" w:firstLineChars="200"/>
    </w:pPr>
  </w:style>
  <w:style w:type="character" w:customStyle="1" w:styleId="56">
    <w:name w:val="页眉 字符"/>
    <w:basedOn w:val="22"/>
    <w:link w:val="17"/>
    <w:uiPriority w:val="0"/>
    <w:rPr>
      <w:rFonts w:ascii="Arial" w:hAnsi="Arial" w:eastAsia="宋体" w:cs="Times New Roman (正文 CS 字体)"/>
      <w:sz w:val="18"/>
      <w:szCs w:val="18"/>
    </w:rPr>
  </w:style>
  <w:style w:type="character" w:customStyle="1" w:styleId="57">
    <w:name w:val="页脚 字符"/>
    <w:basedOn w:val="22"/>
    <w:link w:val="16"/>
    <w:uiPriority w:val="0"/>
    <w:rPr>
      <w:rFonts w:ascii="Arial" w:hAnsi="Arial" w:eastAsia="宋体" w:cs="Times New Roman (正文 CS 字体)"/>
      <w:sz w:val="18"/>
      <w:szCs w:val="18"/>
    </w:rPr>
  </w:style>
  <w:style w:type="character" w:customStyle="1" w:styleId="58">
    <w:name w:val="KeywordTok"/>
    <w:basedOn w:val="51"/>
    <w:uiPriority w:val="0"/>
    <w:rPr>
      <w:b/>
      <w:color w:val="007020"/>
    </w:rPr>
  </w:style>
  <w:style w:type="character" w:customStyle="1" w:styleId="59">
    <w:name w:val="DataTypeTok"/>
    <w:basedOn w:val="51"/>
    <w:uiPriority w:val="0"/>
    <w:rPr>
      <w:color w:val="902000"/>
    </w:rPr>
  </w:style>
  <w:style w:type="character" w:customStyle="1" w:styleId="60">
    <w:name w:val="DecValTok"/>
    <w:basedOn w:val="51"/>
    <w:uiPriority w:val="0"/>
    <w:rPr>
      <w:color w:val="40A070"/>
    </w:rPr>
  </w:style>
  <w:style w:type="character" w:customStyle="1" w:styleId="61">
    <w:name w:val="BaseNTok"/>
    <w:basedOn w:val="51"/>
    <w:uiPriority w:val="0"/>
    <w:rPr>
      <w:color w:val="40A070"/>
    </w:rPr>
  </w:style>
  <w:style w:type="character" w:customStyle="1" w:styleId="62">
    <w:name w:val="FloatTok"/>
    <w:basedOn w:val="51"/>
    <w:uiPriority w:val="0"/>
    <w:rPr>
      <w:color w:val="40A070"/>
    </w:rPr>
  </w:style>
  <w:style w:type="character" w:customStyle="1" w:styleId="63">
    <w:name w:val="ConstantTok"/>
    <w:basedOn w:val="51"/>
    <w:uiPriority w:val="0"/>
    <w:rPr>
      <w:color w:val="880000"/>
    </w:rPr>
  </w:style>
  <w:style w:type="character" w:customStyle="1" w:styleId="64">
    <w:name w:val="CharTok"/>
    <w:basedOn w:val="51"/>
    <w:uiPriority w:val="0"/>
    <w:rPr>
      <w:color w:val="4070A0"/>
    </w:rPr>
  </w:style>
  <w:style w:type="character" w:customStyle="1" w:styleId="65">
    <w:name w:val="SpecialCharTok"/>
    <w:basedOn w:val="51"/>
    <w:uiPriority w:val="0"/>
    <w:rPr>
      <w:color w:val="4070A0"/>
    </w:rPr>
  </w:style>
  <w:style w:type="character" w:customStyle="1" w:styleId="66">
    <w:name w:val="StringTok"/>
    <w:basedOn w:val="51"/>
    <w:uiPriority w:val="0"/>
    <w:rPr>
      <w:color w:val="4070A0"/>
    </w:rPr>
  </w:style>
  <w:style w:type="character" w:customStyle="1" w:styleId="67">
    <w:name w:val="VerbatimStringTok"/>
    <w:basedOn w:val="51"/>
    <w:uiPriority w:val="0"/>
    <w:rPr>
      <w:color w:val="4070A0"/>
    </w:rPr>
  </w:style>
  <w:style w:type="character" w:customStyle="1" w:styleId="68">
    <w:name w:val="SpecialStringTok"/>
    <w:basedOn w:val="51"/>
    <w:uiPriority w:val="0"/>
    <w:rPr>
      <w:color w:val="BB6688"/>
    </w:rPr>
  </w:style>
  <w:style w:type="character" w:customStyle="1" w:styleId="69">
    <w:name w:val="ImportTok"/>
    <w:basedOn w:val="51"/>
    <w:uiPriority w:val="0"/>
    <w:rPr>
      <w:b/>
      <w:color w:val="008000"/>
    </w:rPr>
  </w:style>
  <w:style w:type="character" w:customStyle="1" w:styleId="70">
    <w:name w:val="CommentTok"/>
    <w:basedOn w:val="51"/>
    <w:uiPriority w:val="0"/>
    <w:rPr>
      <w:i/>
      <w:color w:val="60A0B0"/>
    </w:rPr>
  </w:style>
  <w:style w:type="character" w:customStyle="1" w:styleId="71">
    <w:name w:val="DocumentationTok"/>
    <w:basedOn w:val="51"/>
    <w:uiPriority w:val="0"/>
    <w:rPr>
      <w:i/>
      <w:color w:val="BA2121"/>
    </w:rPr>
  </w:style>
  <w:style w:type="character" w:customStyle="1" w:styleId="72">
    <w:name w:val="AnnotationTok"/>
    <w:basedOn w:val="51"/>
    <w:uiPriority w:val="0"/>
    <w:rPr>
      <w:b/>
      <w:i/>
      <w:color w:val="60A0B0"/>
    </w:rPr>
  </w:style>
  <w:style w:type="character" w:customStyle="1" w:styleId="73">
    <w:name w:val="CommentVarTok"/>
    <w:basedOn w:val="51"/>
    <w:uiPriority w:val="0"/>
    <w:rPr>
      <w:b/>
      <w:i/>
      <w:color w:val="60A0B0"/>
    </w:rPr>
  </w:style>
  <w:style w:type="character" w:customStyle="1" w:styleId="74">
    <w:name w:val="OtherTok"/>
    <w:basedOn w:val="51"/>
    <w:uiPriority w:val="0"/>
    <w:rPr>
      <w:color w:val="007020"/>
    </w:rPr>
  </w:style>
  <w:style w:type="character" w:customStyle="1" w:styleId="75">
    <w:name w:val="FunctionTok"/>
    <w:basedOn w:val="51"/>
    <w:uiPriority w:val="0"/>
    <w:rPr>
      <w:color w:val="06287E"/>
    </w:rPr>
  </w:style>
  <w:style w:type="character" w:customStyle="1" w:styleId="76">
    <w:name w:val="VariableTok"/>
    <w:basedOn w:val="51"/>
    <w:uiPriority w:val="0"/>
    <w:rPr>
      <w:color w:val="19177C"/>
    </w:rPr>
  </w:style>
  <w:style w:type="character" w:customStyle="1" w:styleId="77">
    <w:name w:val="ControlFlowTok"/>
    <w:basedOn w:val="51"/>
    <w:uiPriority w:val="0"/>
    <w:rPr>
      <w:b/>
      <w:color w:val="007020"/>
    </w:rPr>
  </w:style>
  <w:style w:type="character" w:customStyle="1" w:styleId="78">
    <w:name w:val="OperatorTok"/>
    <w:basedOn w:val="51"/>
    <w:uiPriority w:val="0"/>
    <w:rPr>
      <w:color w:val="666666"/>
    </w:rPr>
  </w:style>
  <w:style w:type="character" w:customStyle="1" w:styleId="79">
    <w:name w:val="BuiltInTok"/>
    <w:basedOn w:val="51"/>
    <w:uiPriority w:val="0"/>
    <w:rPr>
      <w:color w:val="008000"/>
    </w:rPr>
  </w:style>
  <w:style w:type="character" w:customStyle="1" w:styleId="80">
    <w:name w:val="ExtensionTok"/>
    <w:basedOn w:val="51"/>
    <w:uiPriority w:val="0"/>
  </w:style>
  <w:style w:type="character" w:customStyle="1" w:styleId="81">
    <w:name w:val="PreprocessorTok"/>
    <w:basedOn w:val="51"/>
    <w:uiPriority w:val="0"/>
    <w:rPr>
      <w:color w:val="BC7A00"/>
    </w:rPr>
  </w:style>
  <w:style w:type="character" w:customStyle="1" w:styleId="82">
    <w:name w:val="AttributeTok"/>
    <w:basedOn w:val="51"/>
    <w:uiPriority w:val="0"/>
    <w:rPr>
      <w:color w:val="7D9029"/>
    </w:rPr>
  </w:style>
  <w:style w:type="character" w:customStyle="1" w:styleId="83">
    <w:name w:val="RegionMarkerTok"/>
    <w:basedOn w:val="51"/>
    <w:uiPriority w:val="0"/>
  </w:style>
  <w:style w:type="character" w:customStyle="1" w:styleId="84">
    <w:name w:val="InformationTok"/>
    <w:basedOn w:val="51"/>
    <w:uiPriority w:val="0"/>
    <w:rPr>
      <w:b/>
      <w:i/>
      <w:color w:val="60A0B0"/>
    </w:rPr>
  </w:style>
  <w:style w:type="character" w:customStyle="1" w:styleId="85">
    <w:name w:val="WarningTok"/>
    <w:basedOn w:val="51"/>
    <w:uiPriority w:val="0"/>
    <w:rPr>
      <w:b/>
      <w:i/>
      <w:color w:val="60A0B0"/>
    </w:rPr>
  </w:style>
  <w:style w:type="character" w:customStyle="1" w:styleId="86">
    <w:name w:val="AlertTok"/>
    <w:basedOn w:val="51"/>
    <w:uiPriority w:val="0"/>
    <w:rPr>
      <w:b/>
      <w:color w:val="FF0000"/>
    </w:rPr>
  </w:style>
  <w:style w:type="character" w:customStyle="1" w:styleId="87">
    <w:name w:val="ErrorTok"/>
    <w:basedOn w:val="51"/>
    <w:uiPriority w:val="0"/>
    <w:rPr>
      <w:b/>
      <w:color w:val="FF0000"/>
    </w:rPr>
  </w:style>
  <w:style w:type="character" w:customStyle="1" w:styleId="88">
    <w:name w:val="NormalTok"/>
    <w:basedOn w:val="51"/>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3679</Words>
  <Characters>4249</Characters>
  <Lines>3</Lines>
  <Paragraphs>1</Paragraphs>
  <TotalTime>30</TotalTime>
  <ScaleCrop>false</ScaleCrop>
  <LinksUpToDate>false</LinksUpToDate>
  <CharactersWithSpaces>4288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2026-06-16T10:27:00Z</dcterms:created>
  <dc:creator>嘉铭</dc:creator>
  <cp:lastModifiedBy>嘉铭</cp:lastModifiedBy>
  <dcterms:modified xsi:type="dcterms:W3CDTF">2026-06-16T10:36:08Z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qabgh6cp7f486gnkf40-19ecfbc4-4fb2-8536-8000-096f9d89a097-20260616102719","ReservedCode1":"","ContentPropagator":"001191110108MACG2KBH8F20000","PropagateID":"cqabgh6cp7f486gnkf40-19ecfbc4-4fb2-8536-8000-096f9d89a097-20260616102719","ReservedCode2":""}</vt:lpwstr>
  </property>
  <property fmtid="{D5CDD505-2E9C-101B-9397-08002B2CF9AE}" pid="3" name="KSOTemplateDocerSaveRecord">
    <vt:lpwstr>eyJoZGlkIjoiYTg5NTE5ZGFkNmVlYTAxZTEyMmE2YTNiNjY0NGE0NmIiLCJ1c2VySWQiOiI4NTU2Mjc1NDcifQ==</vt:lpwstr>
  </property>
  <property fmtid="{D5CDD505-2E9C-101B-9397-08002B2CF9AE}" pid="4" name="KSOProductBuildVer">
    <vt:lpwstr>2052-12.1.0.26895</vt:lpwstr>
  </property>
  <property fmtid="{D5CDD505-2E9C-101B-9397-08002B2CF9AE}" pid="5" name="ICV">
    <vt:lpwstr>2FFBAFD5B8A441FDA175A42205243961_12</vt:lpwstr>
  </property>
</Properties>
</file>