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1DCFE">
      <w:pPr>
        <w:widowControl/>
        <w:jc w:val="center"/>
        <w:rPr>
          <w:rFonts w:hint="eastAsia" w:ascii="宋体" w:hAnsi="宋体"/>
          <w:bCs/>
          <w:color w:val="000000"/>
          <w:sz w:val="24"/>
        </w:rPr>
      </w:pPr>
    </w:p>
    <w:p w14:paraId="03E2EF3A">
      <w:pPr>
        <w:widowControl/>
        <w:jc w:val="center"/>
        <w:rPr>
          <w:rFonts w:hint="eastAsia" w:ascii="宋体" w:hAnsi="宋体"/>
          <w:bCs/>
          <w:color w:val="000000"/>
          <w:sz w:val="24"/>
        </w:rPr>
      </w:pPr>
    </w:p>
    <w:p w14:paraId="3D19064C">
      <w:pPr>
        <w:widowControl/>
        <w:jc w:val="center"/>
        <w:rPr>
          <w:rFonts w:hint="eastAsia" w:ascii="宋体" w:hAnsi="宋体"/>
          <w:bCs/>
          <w:color w:val="000000"/>
          <w:sz w:val="32"/>
          <w:szCs w:val="32"/>
        </w:rPr>
      </w:pPr>
      <w:r>
        <w:rPr>
          <w:rFonts w:ascii="宋体" w:hAnsi="宋体"/>
          <w:bCs/>
          <w:color w:val="000000"/>
          <w:sz w:val="32"/>
          <w:szCs w:val="32"/>
        </w:rPr>
        <w:drawing>
          <wp:inline distT="0" distB="0" distL="114300" distR="114300">
            <wp:extent cx="3705225" cy="6762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E5882">
      <w:pPr>
        <w:widowControl/>
        <w:jc w:val="center"/>
        <w:rPr>
          <w:rFonts w:hint="eastAsia" w:ascii="微软雅黑" w:hAnsi="微软雅黑" w:eastAsia="微软雅黑" w:cs="微软雅黑"/>
          <w:bCs/>
          <w:color w:val="000000"/>
          <w:sz w:val="40"/>
          <w:szCs w:val="40"/>
        </w:rPr>
      </w:pPr>
      <w:r>
        <w:rPr>
          <w:rFonts w:hint="eastAsia" w:ascii="微软雅黑" w:hAnsi="微软雅黑" w:eastAsia="微软雅黑" w:cs="微软雅黑"/>
          <w:bCs/>
          <w:color w:val="000000"/>
          <w:sz w:val="40"/>
          <w:szCs w:val="40"/>
        </w:rPr>
        <w:t>实 验 报 告</w:t>
      </w:r>
    </w:p>
    <w:p w14:paraId="261A4341">
      <w:pPr>
        <w:widowControl/>
        <w:jc w:val="center"/>
        <w:outlineLvl w:val="0"/>
        <w:rPr>
          <w:rFonts w:ascii="Wingdings" w:hAnsi="Wingdings"/>
          <w:bCs/>
          <w:color w:val="000000"/>
          <w:sz w:val="32"/>
          <w:szCs w:val="32"/>
        </w:rPr>
      </w:pPr>
      <w:r>
        <w:rPr>
          <w:rFonts w:hint="eastAsia" w:ascii="楷体_GB2312" w:eastAsia="楷体_GB2312"/>
          <w:bCs/>
          <w:sz w:val="32"/>
          <w:szCs w:val="32"/>
        </w:rPr>
        <w:t>（ 20</w:t>
      </w:r>
      <w:r>
        <w:rPr>
          <w:rFonts w:ascii="楷体_GB2312" w:eastAsia="楷体_GB2312"/>
          <w:bCs/>
          <w:sz w:val="32"/>
          <w:szCs w:val="32"/>
        </w:rPr>
        <w:t>2</w:t>
      </w:r>
      <w:r>
        <w:rPr>
          <w:rFonts w:hint="eastAsia" w:ascii="楷体_GB2312" w:eastAsia="楷体_GB2312"/>
          <w:bCs/>
          <w:sz w:val="32"/>
          <w:szCs w:val="32"/>
          <w:lang w:val="en-US" w:eastAsia="zh-CN"/>
        </w:rPr>
        <w:t>6</w:t>
      </w:r>
      <w:r>
        <w:rPr>
          <w:rFonts w:hint="eastAsia" w:ascii="楷体_GB2312" w:eastAsia="楷体_GB2312"/>
          <w:bCs/>
          <w:sz w:val="32"/>
          <w:szCs w:val="32"/>
        </w:rPr>
        <w:t xml:space="preserve"> </w:t>
      </w:r>
      <w:r>
        <w:rPr>
          <w:rFonts w:hint="eastAsia" w:ascii="楷体_GB2312" w:eastAsia="楷体_GB2312"/>
          <w:bCs/>
          <w:sz w:val="32"/>
          <w:szCs w:val="32"/>
          <w:lang w:val="en-US" w:eastAsia="zh-CN"/>
        </w:rPr>
        <w:t>-</w:t>
      </w:r>
      <w:r>
        <w:rPr>
          <w:rFonts w:hint="eastAsia" w:ascii="楷体_GB2312" w:eastAsia="楷体_GB2312"/>
          <w:bCs/>
          <w:sz w:val="32"/>
          <w:szCs w:val="32"/>
        </w:rPr>
        <w:t xml:space="preserve"> 20</w:t>
      </w:r>
      <w:r>
        <w:rPr>
          <w:rFonts w:ascii="楷体_GB2312" w:eastAsia="楷体_GB2312"/>
          <w:bCs/>
          <w:sz w:val="32"/>
          <w:szCs w:val="32"/>
        </w:rPr>
        <w:t>2</w:t>
      </w:r>
      <w:r>
        <w:rPr>
          <w:rFonts w:hint="eastAsia" w:ascii="楷体_GB2312" w:eastAsia="楷体_GB2312"/>
          <w:bCs/>
          <w:sz w:val="32"/>
          <w:szCs w:val="32"/>
          <w:lang w:val="en-US" w:eastAsia="zh-CN"/>
        </w:rPr>
        <w:t xml:space="preserve">7 </w:t>
      </w:r>
      <w:r>
        <w:rPr>
          <w:rFonts w:hint="eastAsia" w:ascii="楷体_GB2312" w:eastAsia="楷体_GB2312"/>
          <w:bCs/>
          <w:sz w:val="32"/>
          <w:szCs w:val="32"/>
        </w:rPr>
        <w:t>学年 第</w:t>
      </w:r>
      <w:r>
        <w:rPr>
          <w:rFonts w:hint="eastAsia" w:ascii="楷体_GB2312" w:eastAsia="楷体_GB2312"/>
          <w:bCs/>
          <w:sz w:val="32"/>
          <w:szCs w:val="32"/>
          <w:lang w:val="en-US" w:eastAsia="zh-CN"/>
        </w:rPr>
        <w:t>二</w:t>
      </w:r>
      <w:r>
        <w:rPr>
          <w:rFonts w:hint="eastAsia" w:ascii="楷体_GB2312" w:eastAsia="楷体_GB2312"/>
          <w:bCs/>
          <w:sz w:val="32"/>
          <w:szCs w:val="32"/>
        </w:rPr>
        <w:t>学期）</w:t>
      </w:r>
    </w:p>
    <w:p w14:paraId="3C97A884">
      <w:pPr>
        <w:widowControl/>
        <w:jc w:val="center"/>
        <w:rPr>
          <w:rFonts w:ascii="Wingdings" w:hAnsi="Wingdings"/>
          <w:bCs/>
          <w:color w:val="000000"/>
          <w:sz w:val="32"/>
          <w:szCs w:val="32"/>
        </w:rPr>
      </w:pPr>
    </w:p>
    <w:p w14:paraId="50252AB0">
      <w:pPr>
        <w:widowControl/>
        <w:jc w:val="center"/>
        <w:rPr>
          <w:rFonts w:ascii="Wingdings" w:hAnsi="Wingdings"/>
          <w:bCs/>
          <w:color w:val="000000"/>
          <w:sz w:val="30"/>
          <w:szCs w:val="30"/>
        </w:rPr>
      </w:pPr>
    </w:p>
    <w:p w14:paraId="0B0DE029">
      <w:pPr>
        <w:widowControl/>
        <w:jc w:val="center"/>
        <w:rPr>
          <w:rFonts w:ascii="Wingdings" w:hAnsi="Wingdings"/>
          <w:bCs/>
          <w:color w:val="000000"/>
          <w:sz w:val="30"/>
          <w:szCs w:val="30"/>
        </w:rPr>
      </w:pPr>
    </w:p>
    <w:tbl>
      <w:tblPr>
        <w:tblStyle w:val="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 w14:paraId="32073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  <w:noWrap w:val="0"/>
            <w:vAlign w:val="top"/>
          </w:tcPr>
          <w:p w14:paraId="26824DF1">
            <w:pPr>
              <w:tabs>
                <w:tab w:val="left" w:pos="6870"/>
              </w:tabs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color="auto" w:sz="4" w:space="0"/>
            </w:tcBorders>
            <w:noWrap w:val="0"/>
            <w:vAlign w:val="bottom"/>
          </w:tcPr>
          <w:p w14:paraId="25083ECC">
            <w:pPr>
              <w:tabs>
                <w:tab w:val="left" w:pos="6870"/>
              </w:tabs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  <w:t>2026暑期AI开发技术</w:t>
            </w:r>
          </w:p>
        </w:tc>
      </w:tr>
      <w:tr w14:paraId="32256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  <w:noWrap w:val="0"/>
            <w:vAlign w:val="top"/>
          </w:tcPr>
          <w:p w14:paraId="1D898551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0CDD5A0">
            <w:pPr>
              <w:tabs>
                <w:tab w:val="left" w:pos="6870"/>
              </w:tabs>
              <w:jc w:val="center"/>
              <w:rPr>
                <w:rFonts w:hint="eastAsia" w:eastAsia="宋体"/>
                <w:sz w:val="30"/>
                <w:szCs w:val="30"/>
                <w:lang w:eastAsia="zh-CN"/>
              </w:rPr>
            </w:pPr>
            <w:r>
              <w:rPr>
                <w:rFonts w:hint="eastAsia" w:eastAsia="宋体"/>
                <w:sz w:val="30"/>
                <w:szCs w:val="30"/>
                <w:lang w:eastAsia="zh-CN"/>
              </w:rPr>
              <w:t>实验12-金融Agent构建及优化</w:t>
            </w:r>
          </w:p>
        </w:tc>
      </w:tr>
      <w:tr w14:paraId="5E15F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  <w:noWrap w:val="0"/>
            <w:vAlign w:val="top"/>
          </w:tcPr>
          <w:p w14:paraId="52A5804B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实验时间</w:t>
            </w:r>
          </w:p>
        </w:tc>
        <w:tc>
          <w:tcPr>
            <w:tcW w:w="2258" w:type="dxa"/>
            <w:tcBorders>
              <w:bottom w:val="single" w:color="auto" w:sz="4" w:space="0"/>
            </w:tcBorders>
            <w:noWrap w:val="0"/>
            <w:vAlign w:val="top"/>
          </w:tcPr>
          <w:p w14:paraId="149717E6">
            <w:pPr>
              <w:tabs>
                <w:tab w:val="left" w:pos="6870"/>
              </w:tabs>
              <w:ind w:firstLine="600" w:firstLineChars="200"/>
              <w:rPr>
                <w:rFonts w:hint="eastAsia" w:eastAsia="宋体"/>
                <w:sz w:val="30"/>
                <w:szCs w:val="30"/>
                <w:lang w:val="en-US" w:eastAsia="zh-CN"/>
              </w:rPr>
            </w:pPr>
            <w:r>
              <w:rPr>
                <w:sz w:val="30"/>
                <w:szCs w:val="30"/>
              </w:rPr>
              <w:t>202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>6</w:t>
            </w:r>
          </w:p>
        </w:tc>
        <w:tc>
          <w:tcPr>
            <w:tcW w:w="550" w:type="dxa"/>
            <w:tcBorders>
              <w:top w:val="single" w:color="auto" w:sz="4" w:space="0"/>
            </w:tcBorders>
            <w:noWrap w:val="0"/>
            <w:vAlign w:val="top"/>
          </w:tcPr>
          <w:p w14:paraId="0FB4EF18">
            <w:pPr>
              <w:tabs>
                <w:tab w:val="left" w:pos="6870"/>
              </w:tabs>
              <w:rPr>
                <w:sz w:val="30"/>
                <w:szCs w:val="30"/>
                <w:u w:val="single"/>
              </w:rPr>
            </w:pPr>
            <w:r>
              <w:rPr>
                <w:rFonts w:hAnsi="宋体"/>
                <w:sz w:val="30"/>
                <w:szCs w:val="30"/>
              </w:rPr>
              <w:t>年</w:t>
            </w:r>
          </w:p>
        </w:tc>
        <w:tc>
          <w:tcPr>
            <w:tcW w:w="800" w:type="dxa"/>
            <w:tcBorders>
              <w:bottom w:val="single" w:color="auto" w:sz="4" w:space="0"/>
            </w:tcBorders>
            <w:noWrap w:val="0"/>
            <w:vAlign w:val="top"/>
          </w:tcPr>
          <w:p w14:paraId="0CBA72A8">
            <w:pPr>
              <w:tabs>
                <w:tab w:val="left" w:pos="6870"/>
              </w:tabs>
              <w:jc w:val="center"/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8</w:t>
            </w:r>
          </w:p>
        </w:tc>
        <w:tc>
          <w:tcPr>
            <w:tcW w:w="538" w:type="dxa"/>
            <w:tcBorders>
              <w:top w:val="single" w:color="auto" w:sz="4" w:space="0"/>
            </w:tcBorders>
            <w:noWrap w:val="0"/>
            <w:vAlign w:val="top"/>
          </w:tcPr>
          <w:p w14:paraId="4C8F57B7">
            <w:pPr>
              <w:tabs>
                <w:tab w:val="left" w:pos="6870"/>
              </w:tabs>
              <w:rPr>
                <w:sz w:val="30"/>
                <w:szCs w:val="30"/>
                <w:u w:val="single"/>
              </w:rPr>
            </w:pPr>
            <w:r>
              <w:rPr>
                <w:rFonts w:hAnsi="宋体"/>
                <w:sz w:val="30"/>
                <w:szCs w:val="30"/>
              </w:rPr>
              <w:t>月</w:t>
            </w:r>
          </w:p>
        </w:tc>
        <w:tc>
          <w:tcPr>
            <w:tcW w:w="840" w:type="dxa"/>
            <w:tcBorders>
              <w:bottom w:val="single" w:color="auto" w:sz="4" w:space="0"/>
            </w:tcBorders>
            <w:noWrap w:val="0"/>
            <w:vAlign w:val="top"/>
          </w:tcPr>
          <w:p w14:paraId="2E951ECB">
            <w:pPr>
              <w:tabs>
                <w:tab w:val="left" w:pos="6870"/>
              </w:tabs>
              <w:jc w:val="center"/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12</w:t>
            </w:r>
          </w:p>
        </w:tc>
        <w:tc>
          <w:tcPr>
            <w:tcW w:w="628" w:type="dxa"/>
            <w:tcBorders>
              <w:top w:val="single" w:color="auto" w:sz="4" w:space="0"/>
            </w:tcBorders>
            <w:noWrap w:val="0"/>
            <w:vAlign w:val="top"/>
          </w:tcPr>
          <w:p w14:paraId="0169607E">
            <w:pPr>
              <w:tabs>
                <w:tab w:val="left" w:pos="6870"/>
              </w:tabs>
              <w:rPr>
                <w:rFonts w:hint="eastAsia" w:ascii="宋体" w:hAnsi="宋体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日</w:t>
            </w:r>
          </w:p>
        </w:tc>
      </w:tr>
      <w:tr w14:paraId="5661B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  <w:noWrap w:val="0"/>
            <w:vAlign w:val="top"/>
          </w:tcPr>
          <w:p w14:paraId="5B59A067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2A7A13B2">
            <w:pPr>
              <w:tabs>
                <w:tab w:val="left" w:pos="6870"/>
              </w:tabs>
              <w:jc w:val="center"/>
              <w:rPr>
                <w:rFonts w:hint="eastAsia" w:ascii="宋体" w:hAnsi="宋体" w:eastAsia="宋体"/>
                <w:sz w:val="30"/>
                <w:szCs w:val="30"/>
                <w:lang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eastAsia="zh-CN"/>
              </w:rPr>
              <w:t>计算机与人工智能学院</w:t>
            </w:r>
          </w:p>
        </w:tc>
      </w:tr>
      <w:tr w14:paraId="064C6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8" w:type="dxa"/>
            <w:noWrap w:val="0"/>
            <w:vAlign w:val="top"/>
          </w:tcPr>
          <w:p w14:paraId="0DF8A8CC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F4D7945">
            <w:pPr>
              <w:tabs>
                <w:tab w:val="left" w:pos="6870"/>
              </w:tabs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黄晋</w:t>
            </w:r>
          </w:p>
        </w:tc>
      </w:tr>
    </w:tbl>
    <w:p w14:paraId="42B26A84">
      <w:pPr>
        <w:tabs>
          <w:tab w:val="left" w:pos="6870"/>
        </w:tabs>
        <w:rPr>
          <w:rFonts w:hint="eastAsia" w:ascii="宋体" w:hAnsi="宋体"/>
          <w:sz w:val="30"/>
          <w:szCs w:val="30"/>
        </w:rPr>
      </w:pPr>
    </w:p>
    <w:p w14:paraId="738949EA">
      <w:pPr>
        <w:tabs>
          <w:tab w:val="left" w:pos="6870"/>
        </w:tabs>
        <w:jc w:val="center"/>
        <w:rPr>
          <w:rFonts w:hint="eastAsia" w:ascii="宋体" w:hAnsi="宋体"/>
          <w:sz w:val="30"/>
          <w:szCs w:val="30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2038"/>
        <w:gridCol w:w="1453"/>
        <w:gridCol w:w="2430"/>
      </w:tblGrid>
      <w:tr w14:paraId="64FC23B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3" w:type="dxa"/>
            <w:noWrap w:val="0"/>
            <w:vAlign w:val="top"/>
          </w:tcPr>
          <w:p w14:paraId="799F6A39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学生姓名</w:t>
            </w:r>
          </w:p>
        </w:tc>
        <w:tc>
          <w:tcPr>
            <w:tcW w:w="2038" w:type="dxa"/>
            <w:tcBorders>
              <w:bottom w:val="single" w:color="auto" w:sz="4" w:space="0"/>
            </w:tcBorders>
            <w:noWrap w:val="0"/>
            <w:vAlign w:val="top"/>
          </w:tcPr>
          <w:p w14:paraId="0426E592">
            <w:pPr>
              <w:tabs>
                <w:tab w:val="left" w:pos="6870"/>
              </w:tabs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罗苏豪</w:t>
            </w:r>
          </w:p>
        </w:tc>
        <w:tc>
          <w:tcPr>
            <w:tcW w:w="1453" w:type="dxa"/>
            <w:noWrap w:val="0"/>
            <w:vAlign w:val="top"/>
          </w:tcPr>
          <w:p w14:paraId="60BC6BC5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学</w:t>
            </w: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30"/>
                <w:szCs w:val="30"/>
              </w:rPr>
              <w:t>号</w:t>
            </w:r>
          </w:p>
        </w:tc>
        <w:tc>
          <w:tcPr>
            <w:tcW w:w="2430" w:type="dxa"/>
            <w:tcBorders>
              <w:bottom w:val="single" w:color="auto" w:sz="4" w:space="0"/>
            </w:tcBorders>
            <w:noWrap w:val="0"/>
            <w:vAlign w:val="top"/>
          </w:tcPr>
          <w:p w14:paraId="57EE37D9">
            <w:pPr>
              <w:tabs>
                <w:tab w:val="left" w:pos="6870"/>
              </w:tabs>
              <w:jc w:val="center"/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2304240502</w:t>
            </w:r>
          </w:p>
        </w:tc>
      </w:tr>
      <w:tr w14:paraId="416C55B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3" w:type="dxa"/>
            <w:tcBorders>
              <w:bottom w:val="nil"/>
            </w:tcBorders>
            <w:noWrap w:val="0"/>
            <w:vAlign w:val="top"/>
          </w:tcPr>
          <w:p w14:paraId="7CD60784">
            <w:pPr>
              <w:tabs>
                <w:tab w:val="left" w:pos="6870"/>
              </w:tabs>
              <w:jc w:val="center"/>
              <w:rPr>
                <w:rFonts w:hint="eastAsia" w:ascii="宋体" w:hAnsi="宋体"/>
                <w:sz w:val="30"/>
                <w:szCs w:val="30"/>
                <w:u w:val="single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学院</w:t>
            </w:r>
            <w:r>
              <w:rPr>
                <w:rFonts w:ascii="宋体" w:hAnsi="宋体"/>
                <w:sz w:val="30"/>
                <w:szCs w:val="30"/>
              </w:rPr>
              <w:t>(</w:t>
            </w:r>
            <w:r>
              <w:rPr>
                <w:rFonts w:hint="eastAsia" w:ascii="宋体" w:hAnsi="宋体"/>
                <w:sz w:val="30"/>
                <w:szCs w:val="30"/>
              </w:rPr>
              <w:t>系)</w:t>
            </w:r>
          </w:p>
        </w:tc>
        <w:tc>
          <w:tcPr>
            <w:tcW w:w="203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9B1DE95">
            <w:pPr>
              <w:tabs>
                <w:tab w:val="left" w:pos="6870"/>
              </w:tabs>
              <w:jc w:val="left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计算机与人工智能</w:t>
            </w:r>
            <w:r>
              <w:rPr>
                <w:rFonts w:hint="eastAsia" w:ascii="宋体" w:hAnsi="宋体"/>
                <w:sz w:val="30"/>
                <w:szCs w:val="30"/>
              </w:rPr>
              <w:t>学院</w:t>
            </w:r>
          </w:p>
        </w:tc>
        <w:tc>
          <w:tcPr>
            <w:tcW w:w="1453" w:type="dxa"/>
            <w:tcBorders>
              <w:bottom w:val="nil"/>
            </w:tcBorders>
            <w:noWrap w:val="0"/>
            <w:vAlign w:val="top"/>
          </w:tcPr>
          <w:p w14:paraId="21FD1502">
            <w:pPr>
              <w:tabs>
                <w:tab w:val="left" w:pos="6870"/>
              </w:tabs>
              <w:jc w:val="center"/>
              <w:rPr>
                <w:rFonts w:hint="eastAsia" w:ascii="宋体" w:hAnsi="宋体" w:eastAsia="宋体"/>
                <w:sz w:val="30"/>
                <w:szCs w:val="30"/>
                <w:u w:val="single"/>
                <w:lang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eastAsia="zh-CN"/>
              </w:rPr>
              <w:t>班</w:t>
            </w: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30"/>
                <w:szCs w:val="30"/>
                <w:lang w:eastAsia="zh-CN"/>
              </w:rPr>
              <w:t>级</w:t>
            </w:r>
          </w:p>
        </w:tc>
        <w:tc>
          <w:tcPr>
            <w:tcW w:w="243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C1381F">
            <w:pPr>
              <w:tabs>
                <w:tab w:val="left" w:pos="6870"/>
              </w:tabs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大数据12302班</w:t>
            </w:r>
          </w:p>
        </w:tc>
      </w:tr>
    </w:tbl>
    <w:p w14:paraId="7BE1437A">
      <w:pPr>
        <w:rPr>
          <w:rFonts w:hint="eastAsia" w:ascii="宋体" w:hAnsi="宋体"/>
          <w:bCs/>
          <w:color w:val="000000"/>
          <w:sz w:val="32"/>
          <w:szCs w:val="32"/>
        </w:rPr>
        <w:sectPr>
          <w:pgSz w:w="11906" w:h="16838"/>
          <w:pgMar w:top="1440" w:right="1134" w:bottom="1440" w:left="1418" w:header="851" w:footer="992" w:gutter="0"/>
          <w:cols w:space="720" w:num="1"/>
          <w:docGrid w:type="lines" w:linePitch="312" w:charSpace="0"/>
        </w:sectPr>
      </w:pPr>
    </w:p>
    <w:tbl>
      <w:tblPr>
        <w:tblStyle w:val="8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  <w:gridCol w:w="289"/>
      </w:tblGrid>
      <w:tr w14:paraId="1242B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3" w:hRule="atLeast"/>
        </w:trPr>
        <w:tc>
          <w:tcPr>
            <w:tcW w:w="9639" w:type="dxa"/>
            <w:gridSpan w:val="2"/>
            <w:noWrap w:val="0"/>
            <w:vAlign w:val="top"/>
          </w:tcPr>
          <w:p w14:paraId="5F6801FD">
            <w:pPr>
              <w:numPr>
                <w:ilvl w:val="0"/>
                <w:numId w:val="1"/>
              </w:numPr>
              <w:tabs>
                <w:tab w:val="left" w:pos="0"/>
                <w:tab w:val="clear" w:pos="720"/>
              </w:tabs>
              <w:ind w:left="605" w:hanging="605"/>
              <w:rPr>
                <w:rFonts w:hint="eastAsia" w:ascii="宋体" w:hAnsi="宋体"/>
                <w:b/>
                <w:bCs w:val="0"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</w:rPr>
              <w:t>实验目的</w:t>
            </w:r>
          </w:p>
          <w:p w14:paraId="2D32A8A4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1）了解 Financial Agent 的基本组成和工作方式，理解大语言模型、Agent、工具调用、文档检索、代码执行、金融数值分析和数学建模等技术在金融任务中的应用。</w:t>
            </w:r>
          </w:p>
          <w:p w14:paraId="364A82DA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2）掌握面向金融任务构建模块化 Agent 系统的方法，实现 Coding Agent、金融文档问答、金融数据分析和数学建模等功能。</w:t>
            </w:r>
          </w:p>
          <w:p w14:paraId="08E40A76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3）掌握利用 Python 完成金融数据读取、数值计算、统计分析、数据可视化和模型求解的方法，并通过 Agent 完成自然语言驱动的分析任务。</w:t>
            </w:r>
          </w:p>
          <w:p w14:paraId="48B8E5D0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4）掌握金融 PDF 文档的解析、检索、问答和证据定位流程，实现面向年报、财务报告等金融文档的信息查询与分析。</w:t>
            </w:r>
          </w:p>
          <w:p w14:paraId="7C99091C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5）了解金融 Code Agent 的基本方法，参考 MoCA-Agent 的“金融问题理解—证据/公式判断—Python 生成—代码执行—结果校验”流程，理解代码执行在金融数值推理中的作用。</w:t>
            </w:r>
          </w:p>
          <w:p w14:paraId="6D38BC37">
            <w:pPr>
              <w:spacing w:after="80" w:line="288" w:lineRule="auto"/>
              <w:ind w:firstLine="420"/>
            </w:pPr>
            <w:r>
              <w:rPr>
                <w:rFonts w:hint="eastAsia" w:ascii="宋体" w:hAnsi="宋体"/>
                <w:b w:val="0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/>
                <w:b w:val="0"/>
                <w:sz w:val="24"/>
                <w:szCs w:val="24"/>
              </w:rPr>
              <w:t>6）通过主对比实验、消融实验、扩展能力实验、效率实验和定性分析，对 Financial Agent 的任务完成效果进行系统评价。</w:t>
            </w:r>
          </w:p>
        </w:tc>
      </w:tr>
      <w:tr w14:paraId="04DE4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9639" w:type="dxa"/>
            <w:gridSpan w:val="2"/>
            <w:noWrap w:val="0"/>
            <w:vAlign w:val="top"/>
          </w:tcPr>
          <w:p w14:paraId="6E2021A2">
            <w:pPr>
              <w:rPr>
                <w:rFonts w:hint="eastAsia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二、实验任务</w:t>
            </w:r>
          </w:p>
          <w:p w14:paraId="2D1A3C25">
            <w:pPr>
              <w:spacing w:after="80" w:line="288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>本实验主要包括以下任务：</w:t>
            </w:r>
          </w:p>
          <w:p w14:paraId="487790CE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（1）构建面向金融任务的 Financial Agent 系统，提供 Web 交互界面，包含 Coding Agent、金融文档问答、金融数据分析和数学建模四个功能模块；</w:t>
            </w:r>
          </w:p>
          <w:p w14:paraId="002BBEE2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（2）实现 Coding Agent 的代码生成、理解、修改与执行，支持基于运行错误的自动修复；</w:t>
            </w:r>
          </w:p>
          <w:p w14:paraId="4D3FCDA5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（3）实现金融 PDF 文档的上传、解析、切分、索引、检索、问答与来源页码展示；</w:t>
            </w:r>
          </w:p>
          <w:p w14:paraId="50A2355A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（4）实现 CSV/Excel 金融数据的指标计算、数据处理、统计分析、可视化与结果解释；</w:t>
            </w:r>
          </w:p>
          <w:p w14:paraId="31D1E47F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（5）实现数学建模的完整流程（问题理解、变量与假设、模型选择、建模求解、代码执行、结果评价、可视化与结论）；</w:t>
            </w:r>
          </w:p>
          <w:p w14:paraId="31F63862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（6）复现 MoCA-Agent（MoCA-Fin）作为对比基线，完成 FinQA/FinanceMath 主对比实验；</w:t>
            </w:r>
          </w:p>
          <w:p w14:paraId="798C02CC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（7）完成“任务专用 Prompt”与“代码执行”两组消融实验；</w:t>
            </w:r>
          </w:p>
          <w:p w14:paraId="42B4A8BF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（8）完成 Coding、端到端 PDF 问答、数学建模扩展能力实验；</w:t>
            </w:r>
          </w:p>
          <w:p w14:paraId="72BC8BCB">
            <w:pPr>
              <w:spacing w:after="80" w:line="288" w:lineRule="auto"/>
              <w:ind w:firstLine="420"/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（9）选择代表性案例进行定性分析，整理实验报告与 PPT。</w:t>
            </w:r>
          </w:p>
        </w:tc>
      </w:tr>
      <w:tr w14:paraId="3EE5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6" w:hRule="atLeast"/>
        </w:trPr>
        <w:tc>
          <w:tcPr>
            <w:tcW w:w="9639" w:type="dxa"/>
            <w:gridSpan w:val="2"/>
            <w:noWrap w:val="0"/>
            <w:vAlign w:val="top"/>
          </w:tcPr>
          <w:p w14:paraId="7E21A61E">
            <w:pPr>
              <w:rPr>
                <w:rFonts w:hint="eastAsia" w:ascii="宋体" w:hAnsi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</w:rPr>
              <w:t>三、主要操作步骤及实验结果记录（对实验过程中的主要操作步骤进行描述，并随时记录实验过程中观察到的结果，必要时可辅助截图）</w:t>
            </w:r>
          </w:p>
          <w:p w14:paraId="5E03BE2B">
            <w:pPr>
              <w:spacing w:after="80" w:line="288" w:lineRule="auto"/>
              <w:rPr>
                <w:rFonts w:ascii="宋体" w:hAnsi="宋体" w:eastAsia="宋体"/>
                <w:b/>
                <w:sz w:val="24"/>
                <w:szCs w:val="24"/>
              </w:rPr>
            </w:pPr>
          </w:p>
          <w:p w14:paraId="6A2C451F">
            <w:pPr>
              <w:spacing w:after="80" w:line="288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1. 环境准备与配置</w:t>
            </w:r>
          </w:p>
          <w:p w14:paraId="3FC2C363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操作系统为 Windows 11，Python 3.11.9。安装依赖：openai（调用 DeepSeek）、streamlit（Web 界面）、pandas/numpy/matplotlib/scikit-learn（数据分析与建模）、pdfplumber（PDF 解析）、jieba（中文分词）、reportlab（生成示例 PDF）等。在 .env 中配置 DeepSeek API Key，默认模型 deepseek-chat，temperature=0.0，max_tokens=4096。</w:t>
            </w:r>
          </w:p>
          <w:p w14:paraId="2E5A0C53">
            <w:pPr>
              <w:spacing w:after="80" w:line="288" w:lineRule="auto"/>
              <w:rPr>
                <w:rFonts w:ascii="宋体" w:hAnsi="宋体" w:eastAsia="宋体"/>
                <w:b/>
                <w:sz w:val="24"/>
                <w:szCs w:val="24"/>
              </w:rPr>
            </w:pPr>
          </w:p>
          <w:p w14:paraId="0AE99468">
            <w:pPr>
              <w:spacing w:after="80" w:line="288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2. 数据准备</w:t>
            </w:r>
          </w:p>
          <w:p w14:paraId="22BD284D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下载 FinQA dev.json（883 条）与 FinanceMath test.json（1000 条）作为公开实验材料；固定采样 FinQA 20 题 + FinanceMath 20 题作为主测试集，题目编号固定保存在 experiments/questions/main_set.json；另生成示例财务数据（Excel/CSV）与示例年报、分红公告 PDF 用于扩展实验。</w:t>
            </w:r>
          </w:p>
          <w:p w14:paraId="419E44BF">
            <w:pPr>
              <w:spacing w:after="80" w:line="288" w:lineRule="auto"/>
              <w:rPr>
                <w:rFonts w:ascii="宋体" w:hAnsi="宋体" w:eastAsia="宋体"/>
                <w:b/>
                <w:sz w:val="24"/>
                <w:szCs w:val="24"/>
              </w:rPr>
            </w:pPr>
          </w:p>
          <w:p w14:paraId="2EE8BF4A">
            <w:pPr>
              <w:spacing w:after="80" w:line="288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3. Financial Agent 系统构建</w:t>
            </w:r>
          </w:p>
          <w:p w14:paraId="274F0912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统一封装 DeepSeek 大语言模型（OpenAI 兼容接口，记录每次调用的 Token 用量与耗时）；实现安全代码执行沙箱（subprocess 独立进程、15 秒超时、受限内置函数与模块白名单、自动保存 matplotlib 图表）。</w:t>
            </w:r>
          </w:p>
          <w:p w14:paraId="0B6070B0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（1）Coding Agent：识别任务类型（代码生成/代码解释/数据处理/程序修改/Bug 修复），根据自然语言任务生成 Python 代码并执行，运行失败时根据错误反馈修改代码并重新执行（最多 3 次），展示代码、执行日志、结果与图表。</w:t>
            </w:r>
          </w:p>
          <w:p w14:paraId="11E379A8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（2）金融文档问答：pdfplumber 解析 PDF 文本与表格，重叠窗口切分，jieba 分词 + TF-IDF 建立索引，根据问题检索 Top-K 证据（含页码），结合证据调用 LLM 生成回答并标注来源页码。</w:t>
            </w:r>
          </w:p>
          <w:p w14:paraId="65778676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（3）金融数据分析：读取 CSV/Excel，由 LLM 生成分析代码执行，计算营业收入增长率、净利润增长率、毛利率、净利率、ROA、ROE、资产负债率、收益率、波动率等指标，支持缺失值处理、异常值识别、描述性统计、趋势与相关性分析及可视化，并给出金融背景下的结果解释。</w:t>
            </w:r>
          </w:p>
          <w:p w14:paraId="190FE71B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（4）数学建模：按“问题理解与目标分析→变量定义与假设→模型选择→模型建立与求解→Python 代码生成与执行→模型结果评价→可视化与结论解释”的完整流程完成建模任务。</w:t>
            </w:r>
          </w:p>
          <w:p w14:paraId="254FB0CC">
            <w:pPr>
              <w:spacing w:after="80" w:line="288" w:lineRule="auto"/>
              <w:rPr>
                <w:rFonts w:ascii="宋体" w:hAnsi="宋体" w:eastAsia="宋体"/>
                <w:b/>
                <w:sz w:val="24"/>
                <w:szCs w:val="24"/>
              </w:rPr>
            </w:pPr>
          </w:p>
          <w:p w14:paraId="0FA5FBA9">
            <w:pPr>
              <w:spacing w:after="80" w:line="288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4. MoCA-Agent（Baseline）复现</w:t>
            </w:r>
          </w:p>
          <w:p w14:paraId="47D09AE4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复现 MoCA-Agent/MoCA-Fin 核心流程：Claim Catalog Builder 将问题分解为最多 10 条带类型的原子 claim 并判定问题类型；Extractor、Formula、Accountant、Skeptic 四位专家交易员对每条 claim 下买/卖订单；市场清算计算 claim 价格与置信度并判定 accepted/rejected/uncertain；Synthesizer 仅依据非 rejected 的 claim 合成 Python 程序；Code-Aware Verifier 执行程序并做结构化校验，失败时进行最多一次 Market-Aware Repair。</w:t>
            </w:r>
          </w:p>
          <w:p w14:paraId="541611C9">
            <w:pPr>
              <w:spacing w:after="80" w:line="288" w:lineRule="auto"/>
              <w:rPr>
                <w:rFonts w:ascii="宋体" w:hAnsi="宋体" w:eastAsia="宋体"/>
                <w:b/>
                <w:sz w:val="24"/>
                <w:szCs w:val="24"/>
              </w:rPr>
            </w:pPr>
          </w:p>
          <w:p w14:paraId="2D028FB8">
            <w:pPr>
              <w:spacing w:after="80" w:line="288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5. Web 界面</w:t>
            </w:r>
          </w:p>
          <w:p w14:paraId="61FD534E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使用 Streamlit 构建 Web 界面，侧边栏可配置模型、temperature、最大输出 Token，并可开关“任务专用 Prompt”与“允许执行 Python 代码”两个消融设置；四大模块均可交互运行，系统截图见下方与实验小结。</w:t>
            </w:r>
          </w:p>
          <w:p w14:paraId="5FB8EC58">
            <w:pPr>
              <w:spacing w:after="80" w:line="288" w:lineRule="auto"/>
              <w:rPr>
                <w:rFonts w:ascii="宋体" w:hAnsi="宋体" w:eastAsia="宋体"/>
                <w:b/>
                <w:sz w:val="24"/>
                <w:szCs w:val="24"/>
              </w:rPr>
            </w:pPr>
          </w:p>
          <w:p w14:paraId="4BF582DB">
            <w:pPr>
              <w:spacing w:after="80" w:line="288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6. 主对比实验（FinQA 20 题 + FinanceMath 20 题）</w:t>
            </w:r>
          </w:p>
          <w:p w14:paraId="75F0E9B9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MoCA-Agent 与 Financial Agent 使用相同模型（deepseek-chat）、相同参数（temperature=0.0、max_tokens=4096）、相同输入与相同答案判定方式。统一评价脚本记录 Answer Accuracy、Numerical Accuracy、Code Execution Success、Task Success Rate、Average Time、Token 消耗。结果如下：</w:t>
            </w:r>
          </w:p>
          <w:p w14:paraId="1478A60F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MoCA-Agent：FinQA 60.00%，FinanceMath 50.00%，整体 55.00%；代码执行成功率 100%，任务成功率 100%；平均耗时 18.08s，平均 Token 7366。</w:t>
            </w:r>
          </w:p>
          <w:p w14:paraId="63735ADD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Financial Agent：FinQA 75.00%，FinanceMath 80.00%，整体 77.50%；代码执行成功率 100%，任务成功率 97.50%；平均耗时 4.44s，平均 Token 1128。</w:t>
            </w:r>
          </w:p>
          <w:p w14:paraId="02DD2E3D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结果表明：Financial Agent 在整体准确率上高于 MoCA-Agent（77.50% vs 55.00%），且平均耗时（4.44s vs 18.08s）与平均 Token（1128 vs 7366）均大幅更低。</w:t>
            </w:r>
          </w:p>
          <w:p w14:paraId="1B76DCFD">
            <w:pPr>
              <w:spacing w:after="80" w:line="288" w:lineRule="auto"/>
              <w:rPr>
                <w:rFonts w:ascii="宋体" w:hAnsi="宋体" w:eastAsia="宋体"/>
                <w:b/>
                <w:sz w:val="24"/>
                <w:szCs w:val="24"/>
              </w:rPr>
            </w:pPr>
          </w:p>
          <w:p w14:paraId="1BE4CAFA">
            <w:pPr>
              <w:spacing w:after="80" w:line="288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7. 消融实验（固定 24 题：FinQA 12 + FinanceMath 12）</w:t>
            </w:r>
          </w:p>
          <w:p w14:paraId="0DEEC33C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为分析 Financial Agent 中不同设计的作用，设置两组不改变系统主体结构的消融实验。</w:t>
            </w:r>
          </w:p>
          <w:p w14:paraId="311D8145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w/o Task-specific Prompt（统一使用普通金融助手 Prompt）：整体准确率 75.00%；</w:t>
            </w:r>
          </w:p>
          <w:p w14:paraId="281E5B58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w/o Code Execution（关闭 Python 执行，仅由 LLM 直接推理）：整体准确率 75.00%；</w:t>
            </w:r>
          </w:p>
          <w:p w14:paraId="06D83808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Full Financial Agent：整体准确率 79.17%。</w:t>
            </w:r>
          </w:p>
          <w:p w14:paraId="35027045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结论：去除任务专用 Prompt 或关闭代码执行后准确率均下降约 4 个百分点，说明任务专用 Prompt 与显式代码执行机制均对金融数值推理正确率有正面贡献。</w:t>
            </w:r>
          </w:p>
          <w:p w14:paraId="6ECCF16C">
            <w:pPr>
              <w:spacing w:after="80" w:line="288" w:lineRule="auto"/>
              <w:rPr>
                <w:rFonts w:ascii="宋体" w:hAnsi="宋体" w:eastAsia="宋体"/>
                <w:b/>
                <w:sz w:val="24"/>
                <w:szCs w:val="24"/>
              </w:rPr>
            </w:pPr>
          </w:p>
          <w:p w14:paraId="3B2A8AD2">
            <w:pPr>
              <w:spacing w:after="80" w:line="288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8. 扩展能力实验</w:t>
            </w:r>
          </w:p>
          <w:p w14:paraId="6BCD8680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（1）Coding Agent 测试：6 个任务（代码生成 2、代码理解 2、Bug 修复 2）全部成功；4 个可执行任务代码执行成功率 100%；其中 3 个任务通过执行错误反馈完成自动修复。</w:t>
            </w:r>
          </w:p>
          <w:p w14:paraId="7B832FC8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（2）端到端金融 PDF 问答：在示例年报与分红公告 2 份文档上共 8 个问题全部回答正确，证据命中率 100%，来源页码定位 100%。</w:t>
            </w:r>
          </w:p>
          <w:p w14:paraId="5D6CE798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（3）数学建模测试：信用风险评价、投资组合优化、收益预测、企业综合评价 4 个任务均完成建模设计与代码求解，代码可执行率 100%，100 分制人工评分分别为 90、93、86、87。</w:t>
            </w:r>
          </w:p>
          <w:p w14:paraId="4F07494E">
            <w:pPr>
              <w:spacing w:after="80" w:line="288" w:lineRule="auto"/>
              <w:rPr>
                <w:rFonts w:ascii="宋体" w:hAnsi="宋体" w:eastAsia="宋体"/>
                <w:b/>
                <w:sz w:val="24"/>
                <w:szCs w:val="24"/>
              </w:rPr>
            </w:pPr>
          </w:p>
          <w:p w14:paraId="213A2C03">
            <w:pPr>
              <w:spacing w:after="80" w:line="288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9. 定性实验与案例分析</w:t>
            </w:r>
          </w:p>
          <w:p w14:paraId="6888A428">
            <w:pPr>
              <w:spacing w:after="80" w:line="288" w:lineRule="auto"/>
              <w:ind w:firstLine="420"/>
              <w:rPr>
                <w:rFonts w:ascii="宋体" w:hAnsi="宋体" w:eastAsia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Case1 金融文档/表格问答：两系统均正确输出（40.0，即 40%）。Case2 复杂金融数值计算：Financial Agent 正确给出 4.04；MoCA-Agent 因 claim 变量错配（K、r、T 赋值颠倒）得出 99.08 且通过验证，属于“静默计算错误”。Case3 代码执行与错误修复：首轮因列名错误触发 KeyError，通过执行反馈自动修复后成功输出正确毛利率。Case4 数学建模：完整展示投资组合优化的建模、求解与评价过程。</w:t>
            </w:r>
          </w:p>
          <w:p w14:paraId="4885A1C0">
            <w:pPr>
              <w:spacing w:after="80" w:line="288" w:lineRule="auto"/>
              <w:ind w:firstLine="420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系统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界面</w:t>
            </w: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总览</w:t>
            </w:r>
          </w:p>
          <w:p w14:paraId="37CA76F2">
            <w:pPr>
              <w:spacing w:before="80" w:after="8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974080" cy="3427095"/>
                  <wp:effectExtent l="0" t="0" r="7620" b="1905"/>
                  <wp:docPr id="7" name="图片 7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0" cy="342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56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9" w:type="dxa"/>
          <w:trHeight w:val="9172" w:hRule="atLeast"/>
        </w:trPr>
        <w:tc>
          <w:tcPr>
            <w:tcW w:w="9350" w:type="dxa"/>
            <w:noWrap w:val="0"/>
            <w:vAlign w:val="top"/>
          </w:tcPr>
          <w:p w14:paraId="4C9247EE">
            <w:pPr>
              <w:rPr>
                <w:rFonts w:hint="eastAsia" w:ascii="宋体" w:hAnsi="宋体"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</w:rPr>
              <w:t>四、实验小结</w:t>
            </w:r>
            <w:r>
              <w:rPr>
                <w:rFonts w:hint="eastAsia" w:ascii="楷体_GB2312" w:hAnsi="宋体" w:eastAsia="楷体_GB2312"/>
                <w:color w:val="000000"/>
                <w:sz w:val="24"/>
              </w:rPr>
              <w:t>（结合所学知识对实验过程中观察到的实验结果进行分析，</w:t>
            </w:r>
            <w:r>
              <w:rPr>
                <w:rFonts w:hint="eastAsia" w:ascii="楷体_GB2312" w:hAnsi="宋体" w:eastAsia="楷体_GB2312"/>
                <w:bCs/>
                <w:color w:val="000000"/>
                <w:sz w:val="24"/>
              </w:rPr>
              <w:t>心得体会</w:t>
            </w:r>
            <w:r>
              <w:rPr>
                <w:rFonts w:hint="eastAsia" w:ascii="楷体_GB2312" w:hAnsi="宋体" w:eastAsia="楷体_GB2312"/>
                <w:color w:val="000000"/>
                <w:sz w:val="24"/>
              </w:rPr>
              <w:t>等）</w:t>
            </w:r>
          </w:p>
          <w:p w14:paraId="5A769C26">
            <w:pPr>
              <w:spacing w:line="360" w:lineRule="auto"/>
              <w:rPr>
                <w:rFonts w:hint="eastAsia" w:ascii="宋体" w:hAnsi="宋体"/>
                <w:b/>
                <w:bCs w:val="0"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</w:rPr>
              <w:t>1</w:t>
            </w:r>
            <w:r>
              <w:rPr>
                <w:rFonts w:ascii="宋体" w:hAnsi="宋体"/>
                <w:b/>
                <w:bCs w:val="0"/>
                <w:color w:val="000000"/>
                <w:sz w:val="24"/>
              </w:rPr>
              <w:t>.</w:t>
            </w:r>
            <w:r>
              <w:rPr>
                <w:rFonts w:hint="eastAsia" w:ascii="宋体" w:hAnsi="宋体"/>
                <w:b/>
                <w:bCs w:val="0"/>
                <w:color w:val="000000"/>
                <w:sz w:val="24"/>
              </w:rPr>
              <w:t>结果分析</w:t>
            </w:r>
          </w:p>
          <w:p w14:paraId="7F87A5FD">
            <w:pPr>
              <w:spacing w:line="360" w:lineRule="auto"/>
              <w:rPr>
                <w:rFonts w:hint="eastAsia" w:ascii="宋体" w:hAnsi="宋体"/>
                <w:b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lang w:val="en-US" w:eastAsia="zh-CN"/>
              </w:rPr>
              <w:t>1.1结果图片：</w:t>
            </w:r>
          </w:p>
          <w:p w14:paraId="787FF1E7">
            <w:pPr>
              <w:spacing w:line="360" w:lineRule="auto"/>
              <w:jc w:val="center"/>
              <w:rPr>
                <w:rFonts w:hint="default" w:ascii="宋体" w:hAnsi="宋体"/>
                <w:b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lang w:val="en-US" w:eastAsia="zh-CN"/>
              </w:rPr>
              <w:t>Coding Agent 模块演示图</w:t>
            </w:r>
          </w:p>
          <w:p w14:paraId="1FEA7471">
            <w:pPr>
              <w:spacing w:line="36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803265" cy="2352675"/>
                  <wp:effectExtent l="0" t="0" r="635" b="9525"/>
                  <wp:docPr id="2" name="图片 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265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5BB41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金融文档问答模块</w:t>
            </w:r>
            <w:r>
              <w:rPr>
                <w:rFonts w:hint="eastAsia" w:ascii="宋体" w:hAnsi="宋体"/>
                <w:b/>
                <w:bCs w:val="0"/>
                <w:color w:val="000000"/>
                <w:sz w:val="24"/>
                <w:lang w:val="en-US" w:eastAsia="zh-CN"/>
              </w:rPr>
              <w:t>演示图</w:t>
            </w:r>
          </w:p>
          <w:p w14:paraId="1797D3C0">
            <w:pPr>
              <w:jc w:val="center"/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803265" cy="2282190"/>
                  <wp:effectExtent l="0" t="0" r="635" b="3810"/>
                  <wp:docPr id="3" name="图片 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265" cy="228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B5251">
            <w:pPr>
              <w:jc w:val="center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金融数据分析模块</w:t>
            </w:r>
            <w:r>
              <w:rPr>
                <w:rFonts w:hint="eastAsia" w:ascii="宋体" w:hAnsi="宋体"/>
                <w:b/>
                <w:bCs w:val="0"/>
                <w:color w:val="000000"/>
                <w:sz w:val="24"/>
                <w:lang w:val="en-US" w:eastAsia="zh-CN"/>
              </w:rPr>
              <w:t>演示图</w:t>
            </w:r>
          </w:p>
          <w:p w14:paraId="62C15423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803265" cy="2257425"/>
                  <wp:effectExtent l="0" t="0" r="635" b="3175"/>
                  <wp:docPr id="4" name="图片 4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265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9DD2E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数学建模模块</w:t>
            </w:r>
            <w:r>
              <w:rPr>
                <w:rFonts w:hint="eastAsia" w:ascii="宋体" w:hAnsi="宋体"/>
                <w:b/>
                <w:bCs w:val="0"/>
                <w:color w:val="000000"/>
                <w:sz w:val="24"/>
                <w:lang w:val="en-US" w:eastAsia="zh-CN"/>
              </w:rPr>
              <w:t>演示图</w:t>
            </w:r>
          </w:p>
          <w:p w14:paraId="417CF955">
            <w:pPr>
              <w:jc w:val="both"/>
              <w:rPr>
                <w:rFonts w:hint="default" w:ascii="宋体" w:hAnsi="宋体"/>
                <w:b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lang w:val="en-US" w:eastAsia="zh-CN"/>
              </w:rPr>
              <w:t>1.1</w:t>
            </w:r>
          </w:p>
          <w:p w14:paraId="244C172D">
            <w:pPr>
              <w:jc w:val="center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803265" cy="3101340"/>
                  <wp:effectExtent l="0" t="0" r="635" b="10160"/>
                  <wp:docPr id="5" name="图片 5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265" cy="310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A6533">
            <w:pPr>
              <w:jc w:val="both"/>
              <w:rPr>
                <w:rFonts w:hint="default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1.2</w:t>
            </w:r>
            <w:bookmarkStart w:id="0" w:name="_GoBack"/>
            <w:bookmarkEnd w:id="0"/>
          </w:p>
          <w:p w14:paraId="74F03A98">
            <w:pPr>
              <w:jc w:val="center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803265" cy="3101340"/>
                  <wp:effectExtent l="0" t="0" r="635" b="10160"/>
                  <wp:docPr id="6" name="图片 6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265" cy="310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A5092">
            <w:pPr>
              <w:rPr>
                <w:rFonts w:hint="default" w:ascii="宋体" w:hAnsi="宋体"/>
                <w:bCs/>
                <w:color w:val="000000"/>
                <w:sz w:val="24"/>
                <w:lang w:val="en-US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1.2结果小结：</w:t>
            </w:r>
          </w:p>
          <w:p w14:paraId="7C897C43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在 FinQA/FinanceMath 主对比实验中，Financial Agent 整体准确率为 77.50%，显著高于 MoCA-Agent 的 55.00%，且平均耗时（4.44s vs 18.08s）与平均 Token 消耗（1128 vs 7366）均大幅低于 MoCA-Agent，说明基于代码执行的简洁推理流程在金融数值任务上既准确又高效。</w:t>
            </w:r>
          </w:p>
          <w:p w14:paraId="14C9F91B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消融实验表明：去除任务专用 Prompt 后准确率由 79.17% 降至 75.00%，关闭代码执行后同样降至 75.00%，验证了任务专用 Prompt 与显式代码执行机制均对金融任务正确率有正面贡献。</w:t>
            </w:r>
          </w:p>
          <w:p w14:paraId="54D8BFD3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扩展能力实验中，Coding Agent 6/6 任务成功且具备执行反馈修复能力；端到端 PDF 问答 8/8 正确且证据命中与页码定位均为 100%；数学建模 4/4 任务完成并给出合理模型评价。</w:t>
            </w:r>
          </w:p>
          <w:p w14:paraId="2AED98A5">
            <w:pPr>
              <w:spacing w:line="360" w:lineRule="auto"/>
              <w:rPr>
                <w:rFonts w:ascii="宋体" w:hAnsi="宋体"/>
                <w:bCs/>
                <w:color w:val="000000"/>
                <w:sz w:val="24"/>
              </w:rPr>
            </w:pPr>
            <w:r>
              <w:rPr>
                <w:rFonts w:ascii="宋体" w:hAnsi="宋体"/>
                <w:b/>
                <w:bCs w:val="0"/>
                <w:color w:val="000000"/>
                <w:sz w:val="24"/>
              </w:rPr>
              <w:t>2.</w:t>
            </w:r>
            <w:r>
              <w:rPr>
                <w:rFonts w:hint="eastAsia" w:ascii="宋体" w:hAnsi="宋体"/>
                <w:b/>
                <w:bCs w:val="0"/>
                <w:color w:val="000000"/>
                <w:sz w:val="24"/>
              </w:rPr>
              <w:t>遇到的问题，如何解决的？</w:t>
            </w:r>
          </w:p>
          <w:p w14:paraId="07D7FBE2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（1）示例 PDF 中文乱码：reportlab 默认字体不含中文字形，生成的 PDF 中文无法正常提取。解决：注册 UnicodeCIDFont("STSong-Light") 并应用到所有段落与表格样式。</w:t>
            </w:r>
          </w:p>
          <w:p w14:paraId="261114A5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（2）金融文档问答检索不到证据：TF-IDF 对中文未分词，查询与表格文本无词重叠导致相似度为 0。解决：使用 jieba 对索引文本与查询统一分词后再建立 TF-IDF 索引。</w:t>
            </w:r>
          </w:p>
          <w:p w14:paraId="2BB84C61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（3）模型输出代码被截断：max_tokens 过小导致 markdown 代码围栏未闭合，提取出的代码残留 ```python 造成语法错误。解决：代码生成类调用将 max_tokens 提高到 8192，并实现可容忍未闭合围栏的代码提取器。</w:t>
            </w:r>
          </w:p>
          <w:p w14:paraId="3C342387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（4）PDF 问答答案判定误判：模型回答中的“2023”等年份数字干扰提取，且存在亿元/万元单位换算。解决：实现金融数字解析器，提取答案中全部数值（含单位与百分号换算）逐一与标准答案比较。</w:t>
            </w:r>
          </w:p>
          <w:p w14:paraId="048A22AE">
            <w:pPr>
              <w:spacing w:after="80" w:line="288" w:lineRule="auto"/>
              <w:ind w:firstLine="420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sz w:val="24"/>
                <w:szCs w:val="24"/>
              </w:rPr>
              <w:t>（5）FinanceMath 数据集网络问题：HuggingFace 官方域名超时且数据集受限。解决：改用 GitHub 镜像（yale-nlp/FinanceMath 仓库的 data/test.json）下载。</w:t>
            </w:r>
          </w:p>
          <w:p w14:paraId="693BDCDC">
            <w:pPr>
              <w:spacing w:line="360" w:lineRule="auto"/>
              <w:rPr>
                <w:rFonts w:ascii="宋体" w:hAnsi="宋体"/>
                <w:b/>
                <w:bCs w:val="0"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</w:rPr>
              <w:t>3</w:t>
            </w:r>
            <w:r>
              <w:rPr>
                <w:rFonts w:ascii="宋体" w:hAnsi="宋体"/>
                <w:b/>
                <w:bCs w:val="0"/>
                <w:color w:val="000000"/>
                <w:sz w:val="24"/>
              </w:rPr>
              <w:t>.</w:t>
            </w:r>
            <w:r>
              <w:rPr>
                <w:rFonts w:hint="eastAsia" w:ascii="宋体" w:hAnsi="宋体"/>
                <w:b/>
                <w:bCs w:val="0"/>
                <w:color w:val="000000"/>
                <w:sz w:val="24"/>
              </w:rPr>
              <w:t>收获</w:t>
            </w:r>
          </w:p>
          <w:p w14:paraId="29C76FA5">
            <w:pPr>
              <w:spacing w:after="80" w:line="288" w:lineRule="auto"/>
              <w:ind w:firstLine="480" w:firstLineChars="20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本次研究理解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了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模块化Agent系统设计思路，明确将大语言模型与代码执行、文档检索等工具调用及任务专用Prompt相结合，能够有效提升金融任务处理的准确率与可靠性；同时掌握MoCA-Agent的Claim Market机制，该机制通过把问题拆解为原子主张、模拟专家交易员竞价与市场清算完成证据层级核验，但该框架在出现变量错配场景下依然容易引发静默错误，充分体现结果校验环节不可或缺；此外熟练掌握金融PDF解析、文本切分、向量索引、检索问答的完整RAG链路，以及基于Python实现金融指标运算、统计分析、数据可视化和数学建模的开发方式，并建立起规范化的实验评估体系，能够搭建统一Benchmark输入接口、配置公平实验环境，运用准确率、代码执行成功率、任务完成率、耗时与Token消耗量等量化指标开展评测，同时独立完成消融实验设计。</w:t>
            </w:r>
          </w:p>
        </w:tc>
      </w:tr>
      <w:tr w14:paraId="1BD32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9" w:type="dxa"/>
          <w:trHeight w:val="961" w:hRule="atLeast"/>
        </w:trPr>
        <w:tc>
          <w:tcPr>
            <w:tcW w:w="9350" w:type="dxa"/>
            <w:noWrap w:val="0"/>
            <w:vAlign w:val="top"/>
          </w:tcPr>
          <w:p w14:paraId="677439C2">
            <w:pPr>
              <w:rPr>
                <w:rFonts w:ascii="宋体" w:hAnsi="宋体"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</w:rPr>
              <w:t>说明：</w:t>
            </w:r>
          </w:p>
          <w:p w14:paraId="417E9FFC">
            <w:pPr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</w:rPr>
              <w:t xml:space="preserve"> </w:t>
            </w:r>
            <w:r>
              <w:rPr>
                <w:rFonts w:ascii="宋体" w:hAnsi="宋体"/>
                <w:bCs/>
                <w:color w:val="000000"/>
                <w:sz w:val="24"/>
              </w:rPr>
              <w:t xml:space="preserve">   </w:t>
            </w:r>
          </w:p>
        </w:tc>
      </w:tr>
    </w:tbl>
    <w:p w14:paraId="29139E75">
      <w:pPr>
        <w:rPr>
          <w:rFonts w:hint="eastAsia" w:ascii="宋体" w:hAnsi="宋体"/>
          <w:sz w:val="24"/>
        </w:rPr>
      </w:pPr>
    </w:p>
    <w:sectPr>
      <w:footerReference r:id="rId3" w:type="default"/>
      <w:pgSz w:w="11906" w:h="16838"/>
      <w:pgMar w:top="1440" w:right="1134" w:bottom="1440" w:left="1418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CB8B8">
    <w:pPr>
      <w:pStyle w:val="5"/>
      <w:jc w:val="center"/>
      <w:rPr>
        <w:rFonts w:hint="eastAsia"/>
      </w:rPr>
    </w:pPr>
    <w:r>
      <w:fldChar w:fldCharType="begin"/>
    </w:r>
    <w:r>
      <w:rPr>
        <w:rStyle w:val="11"/>
      </w:rPr>
      <w:instrText xml:space="preserve"> PAGE </w:instrText>
    </w:r>
    <w:r>
      <w:fldChar w:fldCharType="separate"/>
    </w:r>
    <w:r>
      <w:rPr>
        <w:rStyle w:val="11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375135"/>
    <w:multiLevelType w:val="multilevel"/>
    <w:tmpl w:val="31375135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4ODY0ZGMwOGU3YjY2NDkzYjhkOWYyYmM0NDg2OGYifQ=="/>
  </w:docVars>
  <w:rsids>
    <w:rsidRoot w:val="00172A27"/>
    <w:rsid w:val="000325A3"/>
    <w:rsid w:val="00060291"/>
    <w:rsid w:val="000B0172"/>
    <w:rsid w:val="000C267A"/>
    <w:rsid w:val="000F6B27"/>
    <w:rsid w:val="00111120"/>
    <w:rsid w:val="00150291"/>
    <w:rsid w:val="00182B0E"/>
    <w:rsid w:val="0018621B"/>
    <w:rsid w:val="001F4C8F"/>
    <w:rsid w:val="001F7EE4"/>
    <w:rsid w:val="00201554"/>
    <w:rsid w:val="00274B49"/>
    <w:rsid w:val="002A5260"/>
    <w:rsid w:val="002B7007"/>
    <w:rsid w:val="002D3648"/>
    <w:rsid w:val="00324C3C"/>
    <w:rsid w:val="00357A42"/>
    <w:rsid w:val="003769A6"/>
    <w:rsid w:val="00426279"/>
    <w:rsid w:val="00426FF4"/>
    <w:rsid w:val="00432925"/>
    <w:rsid w:val="00452777"/>
    <w:rsid w:val="0047677F"/>
    <w:rsid w:val="00544D01"/>
    <w:rsid w:val="00545E0D"/>
    <w:rsid w:val="00557983"/>
    <w:rsid w:val="005858E3"/>
    <w:rsid w:val="005A706C"/>
    <w:rsid w:val="005D00C8"/>
    <w:rsid w:val="005E6022"/>
    <w:rsid w:val="005F549B"/>
    <w:rsid w:val="0064325F"/>
    <w:rsid w:val="00652EBF"/>
    <w:rsid w:val="0066558F"/>
    <w:rsid w:val="006F1EEF"/>
    <w:rsid w:val="00706FB2"/>
    <w:rsid w:val="00757B5F"/>
    <w:rsid w:val="007C1D13"/>
    <w:rsid w:val="007E161B"/>
    <w:rsid w:val="007E31C4"/>
    <w:rsid w:val="007F1C45"/>
    <w:rsid w:val="007F42B2"/>
    <w:rsid w:val="008153FE"/>
    <w:rsid w:val="00817433"/>
    <w:rsid w:val="008559D9"/>
    <w:rsid w:val="00873E6B"/>
    <w:rsid w:val="00880954"/>
    <w:rsid w:val="008A0D7C"/>
    <w:rsid w:val="008C5DF8"/>
    <w:rsid w:val="008D3A0B"/>
    <w:rsid w:val="008D3FB4"/>
    <w:rsid w:val="008D624F"/>
    <w:rsid w:val="008E644D"/>
    <w:rsid w:val="008F11E4"/>
    <w:rsid w:val="0093276B"/>
    <w:rsid w:val="00937B38"/>
    <w:rsid w:val="00976329"/>
    <w:rsid w:val="00993824"/>
    <w:rsid w:val="009A5879"/>
    <w:rsid w:val="009F56DF"/>
    <w:rsid w:val="00A05111"/>
    <w:rsid w:val="00A578A4"/>
    <w:rsid w:val="00AF4284"/>
    <w:rsid w:val="00B13A55"/>
    <w:rsid w:val="00B35870"/>
    <w:rsid w:val="00B80BF9"/>
    <w:rsid w:val="00BA387E"/>
    <w:rsid w:val="00BB7194"/>
    <w:rsid w:val="00BC6E2B"/>
    <w:rsid w:val="00BD1153"/>
    <w:rsid w:val="00C65174"/>
    <w:rsid w:val="00C71459"/>
    <w:rsid w:val="00C72DC0"/>
    <w:rsid w:val="00D11C52"/>
    <w:rsid w:val="00D8620C"/>
    <w:rsid w:val="00D90620"/>
    <w:rsid w:val="00DD4A4C"/>
    <w:rsid w:val="00DE772F"/>
    <w:rsid w:val="00E02F2D"/>
    <w:rsid w:val="00E05C6C"/>
    <w:rsid w:val="00E350C8"/>
    <w:rsid w:val="00E75E0A"/>
    <w:rsid w:val="00F117A1"/>
    <w:rsid w:val="00F42036"/>
    <w:rsid w:val="00F454DB"/>
    <w:rsid w:val="00F460C9"/>
    <w:rsid w:val="00F569CC"/>
    <w:rsid w:val="00F90B24"/>
    <w:rsid w:val="00F91F92"/>
    <w:rsid w:val="00FC58EC"/>
    <w:rsid w:val="00FD1AB7"/>
    <w:rsid w:val="00FE5C27"/>
    <w:rsid w:val="00FF5B1D"/>
    <w:rsid w:val="02EF3E7D"/>
    <w:rsid w:val="03D57369"/>
    <w:rsid w:val="04CD46F7"/>
    <w:rsid w:val="08281AC6"/>
    <w:rsid w:val="08BA49DD"/>
    <w:rsid w:val="0A2979F9"/>
    <w:rsid w:val="0A9173AA"/>
    <w:rsid w:val="0AE771CF"/>
    <w:rsid w:val="10041E73"/>
    <w:rsid w:val="10584ED8"/>
    <w:rsid w:val="12B13119"/>
    <w:rsid w:val="12E22E63"/>
    <w:rsid w:val="136F501E"/>
    <w:rsid w:val="162163A6"/>
    <w:rsid w:val="16EF436B"/>
    <w:rsid w:val="16F423D6"/>
    <w:rsid w:val="1B862807"/>
    <w:rsid w:val="1BE93650"/>
    <w:rsid w:val="1D445DD7"/>
    <w:rsid w:val="20D719F1"/>
    <w:rsid w:val="22C8518E"/>
    <w:rsid w:val="232A313F"/>
    <w:rsid w:val="238E7813"/>
    <w:rsid w:val="242802AA"/>
    <w:rsid w:val="24A20C32"/>
    <w:rsid w:val="2580454B"/>
    <w:rsid w:val="283A685A"/>
    <w:rsid w:val="2C0E2ED8"/>
    <w:rsid w:val="2C1218DE"/>
    <w:rsid w:val="2CDB02CC"/>
    <w:rsid w:val="2E5961F2"/>
    <w:rsid w:val="2EEA3392"/>
    <w:rsid w:val="35A44863"/>
    <w:rsid w:val="367F204A"/>
    <w:rsid w:val="37EC5DE0"/>
    <w:rsid w:val="385D1810"/>
    <w:rsid w:val="38EC7CC0"/>
    <w:rsid w:val="3B710C2F"/>
    <w:rsid w:val="3D99601D"/>
    <w:rsid w:val="41237608"/>
    <w:rsid w:val="41845BCF"/>
    <w:rsid w:val="45E430C1"/>
    <w:rsid w:val="48D70448"/>
    <w:rsid w:val="49870237"/>
    <w:rsid w:val="4A5C030F"/>
    <w:rsid w:val="4A8E1972"/>
    <w:rsid w:val="4B676970"/>
    <w:rsid w:val="4C6F4F8D"/>
    <w:rsid w:val="4CD35F5F"/>
    <w:rsid w:val="4D5B1949"/>
    <w:rsid w:val="4DDB4F51"/>
    <w:rsid w:val="50477BB5"/>
    <w:rsid w:val="50D27911"/>
    <w:rsid w:val="51901E11"/>
    <w:rsid w:val="51B33D2F"/>
    <w:rsid w:val="53D8739D"/>
    <w:rsid w:val="55987F0E"/>
    <w:rsid w:val="57E816F4"/>
    <w:rsid w:val="58012AA6"/>
    <w:rsid w:val="61C70A4F"/>
    <w:rsid w:val="64A44072"/>
    <w:rsid w:val="6544632F"/>
    <w:rsid w:val="662242CD"/>
    <w:rsid w:val="699546C7"/>
    <w:rsid w:val="6D3D38D0"/>
    <w:rsid w:val="6FD827FC"/>
    <w:rsid w:val="717C316D"/>
    <w:rsid w:val="73AE5E19"/>
    <w:rsid w:val="767F5EE4"/>
    <w:rsid w:val="789A3859"/>
    <w:rsid w:val="7C022D29"/>
    <w:rsid w:val="7EF91F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qFormat/>
    <w:uiPriority w:val="0"/>
    <w:pPr>
      <w:widowControl/>
      <w:spacing w:before="100" w:beforeLines="0" w:beforeAutospacing="1" w:after="100" w:afterLines="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10">
    <w:name w:val="Default Paragraph Font"/>
    <w:autoRedefine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qFormat/>
    <w:uiPriority w:val="0"/>
    <w:pPr>
      <w:shd w:val="clear" w:color="auto" w:fill="000080"/>
    </w:p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等线" w:hAnsi="等线" w:eastAsia="等线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paragraph" w:customStyle="1" w:styleId="12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13">
    <w:name w:val="headline-content"/>
    <w:basedOn w:val="10"/>
    <w:qFormat/>
    <w:uiPriority w:val="0"/>
  </w:style>
  <w:style w:type="character" w:customStyle="1" w:styleId="14">
    <w:name w:val="apple-style-span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3426</Words>
  <Characters>5055</Characters>
  <Lines>4</Lines>
  <Paragraphs>1</Paragraphs>
  <TotalTime>7</TotalTime>
  <ScaleCrop>false</ScaleCrop>
  <LinksUpToDate>false</LinksUpToDate>
  <CharactersWithSpaces>5394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2021-04-13T20:13:00Z</dcterms:created>
  <dc:creator>an</dc:creator>
  <cp:lastModifiedBy>罗苏豪</cp:lastModifiedBy>
  <dcterms:modified xsi:type="dcterms:W3CDTF">2026-08-12T08:18:53Z</dcterms:modified>
  <dc:title>南京邮电大学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C6FF1BEF76E84DE991DADEBED934FAF4</vt:lpwstr>
  </property>
  <property fmtid="{D5CDD505-2E9C-101B-9397-08002B2CF9AE}" pid="4" name="KSOTemplateDocerSaveRecord">
    <vt:lpwstr>eyJoZGlkIjoiMDlhNGViYzQ0M2MwN2UxYmM5MDNkOWNhNzYyMmJiMzIiLCJ1c2VySWQiOiIxNTY2NzMyOTkxIn0=</vt:lpwstr>
  </property>
</Properties>
</file>