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80" w:lineRule="exact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202</w:t>
      </w:r>
      <w:r>
        <w:rPr>
          <w:rFonts w:hint="eastAsia"/>
          <w:b/>
          <w:bCs/>
          <w:sz w:val="36"/>
          <w:szCs w:val="36"/>
          <w:lang w:val="en-US" w:eastAsia="zh-CN"/>
        </w:rPr>
        <w:t>3</w:t>
      </w:r>
      <w:r>
        <w:rPr>
          <w:rFonts w:hint="eastAsia"/>
          <w:b/>
          <w:bCs/>
          <w:sz w:val="36"/>
          <w:szCs w:val="36"/>
        </w:rPr>
        <w:t>年外审总结报告</w:t>
      </w:r>
    </w:p>
    <w:p>
      <w:pPr>
        <w:spacing w:line="380" w:lineRule="exact"/>
        <w:jc w:val="center"/>
      </w:pPr>
    </w:p>
    <w:p>
      <w:pPr>
        <w:spacing w:line="380" w:lineRule="exact"/>
        <w:ind w:firstLine="420"/>
        <w:jc w:val="left"/>
        <w:rPr>
          <w:rFonts w:hint="eastAsia" w:ascii="Verdana" w:hAnsi="Verdana" w:cs="Verdana"/>
          <w:szCs w:val="21"/>
          <w:shd w:val="clear" w:color="auto" w:fill="FFFFFF"/>
        </w:rPr>
      </w:pP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2023年6月7日—9日，广州赛宝认证中心专家组莅临我司，对齐普生股份和齐普生数字系统、珠海齐普生三家公司进行了为期3天的ISO9001：2015认证现场审核工作。</w:t>
      </w:r>
      <w:r>
        <w:rPr>
          <w:rFonts w:hint="eastAsia" w:ascii="宋体" w:hAnsi="宋体" w:cs="Verdana"/>
          <w:szCs w:val="21"/>
          <w:shd w:val="clear" w:color="auto" w:fill="FFFFFF"/>
          <w:lang w:eastAsia="zh-CN"/>
        </w:rPr>
        <w:t>本次ISO质量管理体系外审旨在评估公司的质量管理体系是否符合ISO标准要求，并提供改进建议。通过对公司相关流程、文件和实施情况的审核，</w:t>
      </w:r>
      <w:r>
        <w:rPr>
          <w:rFonts w:hint="eastAsia" w:ascii="宋体" w:hAnsi="宋体" w:cs="Verdana"/>
          <w:szCs w:val="21"/>
          <w:shd w:val="clear" w:color="auto" w:fill="FFFFFF"/>
        </w:rPr>
        <w:t>现将本次审核</w:t>
      </w:r>
      <w:r>
        <w:rPr>
          <w:rFonts w:hint="eastAsia" w:ascii="宋体" w:hAnsi="宋体" w:cs="Verdana"/>
          <w:szCs w:val="21"/>
          <w:shd w:val="clear" w:color="auto" w:fill="FFFFFF"/>
          <w:lang w:eastAsia="zh-CN"/>
        </w:rPr>
        <w:t>进行</w:t>
      </w:r>
      <w:r>
        <w:rPr>
          <w:rFonts w:hint="eastAsia" w:ascii="宋体" w:hAnsi="宋体" w:cs="Verdana"/>
          <w:szCs w:val="21"/>
          <w:shd w:val="clear" w:color="auto" w:fill="FFFFFF"/>
        </w:rPr>
        <w:t>总结汇报</w:t>
      </w:r>
      <w:r>
        <w:rPr>
          <w:rFonts w:hint="eastAsia" w:ascii="Verdana" w:hAnsi="Verdana" w:cs="Verdana"/>
          <w:szCs w:val="21"/>
          <w:shd w:val="clear" w:color="auto" w:fill="FFFFFF"/>
        </w:rPr>
        <w:t>：</w:t>
      </w:r>
    </w:p>
    <w:p>
      <w:pPr>
        <w:spacing w:line="380" w:lineRule="exact"/>
        <w:ind w:firstLine="420"/>
        <w:jc w:val="left"/>
        <w:rPr>
          <w:rFonts w:hint="eastAsia" w:ascii="Verdana" w:hAnsi="Verdana" w:cs="Verdana"/>
          <w:color w:val="000000"/>
          <w:szCs w:val="21"/>
          <w:shd w:val="clear" w:color="auto" w:fill="FFFFFF"/>
        </w:rPr>
      </w:pPr>
    </w:p>
    <w:p>
      <w:pPr>
        <w:spacing w:line="380" w:lineRule="exact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一、审核提问：</w:t>
      </w:r>
    </w:p>
    <w:tbl>
      <w:tblPr>
        <w:tblStyle w:val="7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513"/>
        <w:gridCol w:w="2334"/>
        <w:gridCol w:w="2932"/>
        <w:gridCol w:w="17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bottom w:val="single" w:color="auto" w:sz="4" w:space="0"/>
            </w:tcBorders>
            <w:shd w:val="clear" w:color="auto" w:fill="8DB3E2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Verdana" w:hAnsi="Verdana" w:cs="Verdana"/>
                <w:b/>
                <w:bCs/>
                <w:color w:val="000000"/>
                <w:szCs w:val="21"/>
              </w:rPr>
            </w:pPr>
            <w:r>
              <w:rPr>
                <w:rFonts w:hint="eastAsia" w:ascii="Verdana" w:hAnsi="Verdana" w:cs="Verdana"/>
                <w:b/>
                <w:bCs/>
                <w:color w:val="000000"/>
                <w:szCs w:val="21"/>
              </w:rPr>
              <w:t>序号</w:t>
            </w:r>
          </w:p>
        </w:tc>
        <w:tc>
          <w:tcPr>
            <w:tcW w:w="1513" w:type="dxa"/>
            <w:tcBorders>
              <w:bottom w:val="single" w:color="auto" w:sz="4" w:space="0"/>
            </w:tcBorders>
            <w:shd w:val="clear" w:color="auto" w:fill="8DB3E2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Verdana" w:hAnsi="Verdana" w:cs="Verdana"/>
                <w:b/>
                <w:bCs/>
                <w:color w:val="000000"/>
                <w:szCs w:val="21"/>
              </w:rPr>
            </w:pPr>
            <w:r>
              <w:rPr>
                <w:rFonts w:hint="eastAsia" w:ascii="Verdana" w:hAnsi="Verdana" w:cs="Verdana"/>
                <w:b/>
                <w:bCs/>
                <w:color w:val="000000"/>
                <w:szCs w:val="21"/>
              </w:rPr>
              <w:t>要素</w:t>
            </w:r>
          </w:p>
        </w:tc>
        <w:tc>
          <w:tcPr>
            <w:tcW w:w="2334" w:type="dxa"/>
            <w:tcBorders>
              <w:bottom w:val="single" w:color="auto" w:sz="4" w:space="0"/>
            </w:tcBorders>
            <w:shd w:val="clear" w:color="auto" w:fill="8DB3E2"/>
            <w:noWrap w:val="0"/>
            <w:vAlign w:val="center"/>
          </w:tcPr>
          <w:p>
            <w:pPr>
              <w:spacing w:line="380" w:lineRule="exact"/>
              <w:jc w:val="center"/>
              <w:rPr>
                <w:rFonts w:ascii="Verdana" w:hAnsi="Verdana" w:cs="Verdana"/>
                <w:b/>
                <w:bCs/>
                <w:color w:val="000000"/>
                <w:szCs w:val="21"/>
              </w:rPr>
            </w:pPr>
            <w:r>
              <w:rPr>
                <w:rFonts w:hint="eastAsia" w:ascii="Verdana" w:hAnsi="Verdana" w:cs="Verdana"/>
                <w:b/>
                <w:bCs/>
                <w:color w:val="000000"/>
                <w:szCs w:val="21"/>
              </w:rPr>
              <w:t>提问内容</w:t>
            </w:r>
          </w:p>
        </w:tc>
        <w:tc>
          <w:tcPr>
            <w:tcW w:w="2932" w:type="dxa"/>
            <w:tcBorders>
              <w:bottom w:val="single" w:color="auto" w:sz="4" w:space="0"/>
            </w:tcBorders>
            <w:shd w:val="clear" w:color="auto" w:fill="8DB3E2"/>
            <w:noWrap w:val="0"/>
            <w:vAlign w:val="center"/>
          </w:tcPr>
          <w:p>
            <w:pPr>
              <w:spacing w:line="380" w:lineRule="exact"/>
              <w:jc w:val="center"/>
              <w:rPr>
                <w:rFonts w:ascii="Verdana" w:hAnsi="Verdana" w:cs="Verdana"/>
                <w:b/>
                <w:bCs/>
                <w:color w:val="000000"/>
                <w:szCs w:val="21"/>
              </w:rPr>
            </w:pPr>
            <w:r>
              <w:rPr>
                <w:rFonts w:hint="eastAsia" w:ascii="Verdana" w:hAnsi="Verdana" w:cs="Verdana"/>
                <w:b/>
                <w:bCs/>
                <w:color w:val="000000"/>
                <w:szCs w:val="21"/>
              </w:rPr>
              <w:t>现场反馈</w:t>
            </w:r>
          </w:p>
        </w:tc>
        <w:tc>
          <w:tcPr>
            <w:tcW w:w="1726" w:type="dxa"/>
            <w:tcBorders>
              <w:bottom w:val="single" w:color="auto" w:sz="4" w:space="0"/>
            </w:tcBorders>
            <w:shd w:val="clear" w:color="auto" w:fill="8DB3E2"/>
            <w:noWrap w:val="0"/>
            <w:vAlign w:val="center"/>
          </w:tcPr>
          <w:p>
            <w:pPr>
              <w:tabs>
                <w:tab w:val="left" w:pos="262"/>
                <w:tab w:val="center" w:pos="558"/>
              </w:tabs>
              <w:spacing w:line="380" w:lineRule="exact"/>
              <w:jc w:val="center"/>
              <w:rPr>
                <w:rFonts w:ascii="Verdana" w:hAnsi="Verdana" w:cs="Verdana"/>
                <w:b/>
                <w:bCs/>
                <w:color w:val="000000"/>
                <w:szCs w:val="21"/>
              </w:rPr>
            </w:pPr>
            <w:r>
              <w:rPr>
                <w:rFonts w:hint="eastAsia" w:ascii="Verdana" w:hAnsi="Verdana" w:cs="Verdana"/>
                <w:b/>
                <w:bCs/>
                <w:color w:val="000000"/>
                <w:szCs w:val="21"/>
              </w:rPr>
              <w:t>涉及部门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675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/>
                <w:b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szCs w:val="21"/>
                <w:highlight w:val="none"/>
              </w:rPr>
              <w:t>1</w:t>
            </w:r>
          </w:p>
        </w:tc>
        <w:tc>
          <w:tcPr>
            <w:tcW w:w="1513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管理层访谈</w:t>
            </w:r>
          </w:p>
          <w:p>
            <w:pPr>
              <w:jc w:val="both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4；5；6；7.1；7.4；9.1；9.3；10.1；10.3</w:t>
            </w:r>
          </w:p>
        </w:tc>
        <w:tc>
          <w:tcPr>
            <w:tcW w:w="2334" w:type="dxa"/>
            <w:noWrap w:val="0"/>
            <w:vAlign w:val="center"/>
          </w:tcPr>
          <w:p>
            <w:pPr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公司经营情况、业绩、管理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规划、业务状况</w:t>
            </w:r>
            <w:r>
              <w:rPr>
                <w:rFonts w:hint="eastAsia" w:ascii="宋体" w:hAnsi="宋体"/>
                <w:szCs w:val="21"/>
              </w:rPr>
              <w:t>等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由管理者代表—梁总进行解答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总办/管理者代表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szCs w:val="21"/>
                <w:highlight w:val="none"/>
              </w:rPr>
              <w:t>2</w:t>
            </w:r>
          </w:p>
        </w:tc>
        <w:tc>
          <w:tcPr>
            <w:tcW w:w="1513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风险识别和策划过程</w:t>
            </w:r>
          </w:p>
          <w:p>
            <w:pPr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6.1</w:t>
            </w: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1、</w:t>
            </w:r>
            <w:r>
              <w:rPr>
                <w:rFonts w:ascii="宋体" w:hAnsi="宋体"/>
                <w:szCs w:val="21"/>
              </w:rPr>
              <w:t>提供整体的业务风险分析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2、销售过程中的风险如何控制</w:t>
            </w:r>
            <w:r>
              <w:rPr>
                <w:rFonts w:hint="eastAsia" w:ascii="宋体" w:hAnsi="宋体"/>
                <w:szCs w:val="21"/>
                <w:highlight w:val="none"/>
              </w:rPr>
              <w:t>？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有无采取相关措施来应对风险？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宋体"/>
                <w:szCs w:val="21"/>
              </w:rPr>
              <w:t>《202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szCs w:val="21"/>
              </w:rPr>
              <w:t>年各部门风险识别与应对措施表》</w:t>
            </w:r>
          </w:p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2、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参考《风险管理控制程序》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行政部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szCs w:val="21"/>
                <w:highlight w:val="none"/>
              </w:rPr>
              <w:t>3</w:t>
            </w:r>
          </w:p>
        </w:tc>
        <w:tc>
          <w:tcPr>
            <w:tcW w:w="1513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 w:eastAsia="宋体"/>
                <w:b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szCs w:val="21"/>
              </w:rPr>
              <w:t>体系文件</w:t>
            </w: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变更</w:t>
            </w:r>
          </w:p>
          <w:p>
            <w:pPr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5.3；</w:t>
            </w:r>
            <w:r>
              <w:rPr>
                <w:rFonts w:hint="eastAsia" w:ascii="宋体" w:hAnsi="宋体"/>
                <w:szCs w:val="21"/>
                <w:highlight w:val="lightGray"/>
                <w:lang w:val="en-US" w:eastAsia="zh-CN"/>
              </w:rPr>
              <w:t>5.3.16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；6.3；</w:t>
            </w:r>
            <w:r>
              <w:rPr>
                <w:rFonts w:hint="eastAsia" w:ascii="宋体" w:hAnsi="宋体"/>
                <w:szCs w:val="21"/>
                <w:highlight w:val="lightGray"/>
                <w:lang w:val="en-US" w:eastAsia="zh-CN"/>
              </w:rPr>
              <w:t>附件1</w:t>
            </w:r>
          </w:p>
          <w:p>
            <w:pPr>
              <w:jc w:val="both"/>
              <w:rPr>
                <w:rFonts w:hint="default" w:ascii="宋体" w:hAnsi="宋体"/>
                <w:b/>
                <w:szCs w:val="21"/>
                <w:highlight w:val="lightGray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highlight w:val="none"/>
                <w:lang w:val="en-US" w:eastAsia="zh-CN"/>
              </w:rPr>
              <w:t>（灰标为预备更新）</w:t>
            </w:r>
          </w:p>
        </w:tc>
        <w:tc>
          <w:tcPr>
            <w:tcW w:w="2334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1、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手册和程序文件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的变更和</w:t>
            </w:r>
            <w:r>
              <w:rPr>
                <w:rFonts w:hint="eastAsia" w:ascii="宋体" w:hAnsi="宋体"/>
                <w:szCs w:val="21"/>
              </w:rPr>
              <w:t>更改记录</w:t>
            </w:r>
            <w:r>
              <w:rPr>
                <w:rFonts w:hint="eastAsia" w:ascii="宋体" w:hAnsi="宋体"/>
                <w:szCs w:val="21"/>
                <w:lang w:eastAsia="zh-CN"/>
              </w:rPr>
              <w:t>；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2、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组织架构及职能的对应性和职能分配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。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default" w:ascii="宋体" w:hAnsi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提供《体系文件》(新旧)</w:t>
            </w:r>
          </w:p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《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质量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文件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清单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》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(新旧)</w:t>
            </w:r>
          </w:p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《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质量记录清单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》</w:t>
            </w:r>
          </w:p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《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文件修订审核报告》</w:t>
            </w:r>
          </w:p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《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法律法规及外来文件清单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》</w:t>
            </w:r>
          </w:p>
          <w:p>
            <w:pPr>
              <w:spacing w:line="380" w:lineRule="exact"/>
              <w:jc w:val="both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《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知识管理清单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》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default" w:ascii="宋体" w:hAnsi="宋体" w:eastAsia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行政部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4</w:t>
            </w:r>
          </w:p>
        </w:tc>
        <w:tc>
          <w:tcPr>
            <w:tcW w:w="1513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过程运行环境控制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7.1.4</w:t>
            </w: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szCs w:val="21"/>
              </w:rPr>
              <w:t>请提供公司的移动通信网络是电信还是其它？数据备份方式，办公软件和开发软件有哪些</w:t>
            </w:r>
            <w:r>
              <w:rPr>
                <w:rFonts w:hint="eastAsia" w:ascii="宋体" w:hAnsi="宋体"/>
                <w:szCs w:val="21"/>
              </w:rPr>
              <w:t>？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</w:t>
            </w:r>
            <w:r>
              <w:rPr>
                <w:rFonts w:ascii="宋体" w:hAnsi="宋体"/>
                <w:szCs w:val="21"/>
              </w:rPr>
              <w:t>通信网络：公司网络为电信12M专线、20M长城宽带专线用于机房服务器，100M长城办公网络、10M电信办公网络用于办公区域</w:t>
            </w:r>
            <w:r>
              <w:rPr>
                <w:rFonts w:hint="eastAsia" w:ascii="宋体" w:hAnsi="宋体"/>
                <w:szCs w:val="21"/>
              </w:rPr>
              <w:t>；</w:t>
            </w:r>
          </w:p>
          <w:p>
            <w:pPr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</w:t>
            </w:r>
            <w:r>
              <w:rPr>
                <w:rFonts w:ascii="宋体" w:hAnsi="宋体"/>
                <w:szCs w:val="21"/>
              </w:rPr>
              <w:t>数据备份方式：数据库服务器本地自动备份，FILEGEE备份软件自动备份到储存，</w:t>
            </w:r>
            <w:r>
              <w:rPr>
                <w:rFonts w:hint="eastAsia" w:ascii="宋体" w:hAnsi="宋体"/>
                <w:szCs w:val="21"/>
                <w:lang w:eastAsia="zh-CN"/>
              </w:rPr>
              <w:t>再</w:t>
            </w:r>
            <w:r>
              <w:rPr>
                <w:rFonts w:ascii="宋体" w:hAnsi="宋体"/>
                <w:szCs w:val="21"/>
              </w:rPr>
              <w:t>自动备份到外置移动硬盘</w:t>
            </w:r>
            <w:r>
              <w:rPr>
                <w:rFonts w:hint="eastAsia" w:ascii="宋体" w:hAnsi="宋体"/>
                <w:szCs w:val="21"/>
              </w:rPr>
              <w:t>；</w:t>
            </w:r>
          </w:p>
          <w:p>
            <w:pPr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3、</w:t>
            </w:r>
            <w:r>
              <w:rPr>
                <w:rFonts w:ascii="宋体" w:hAnsi="宋体"/>
                <w:szCs w:val="21"/>
              </w:rPr>
              <w:t>办公软件： 企业微信、腾讯会议、3GFAX、网易邮箱、OA、电子商务、采购系统、订单和销售系统、服务交付系统、金蝶等</w:t>
            </w:r>
            <w:r>
              <w:rPr>
                <w:rFonts w:hint="eastAsia" w:ascii="宋体" w:hAnsi="宋体"/>
                <w:szCs w:val="21"/>
              </w:rPr>
              <w:t>；</w:t>
            </w:r>
          </w:p>
          <w:p>
            <w:pPr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4、</w:t>
            </w:r>
            <w:r>
              <w:rPr>
                <w:rFonts w:ascii="宋体" w:hAnsi="宋体"/>
                <w:szCs w:val="21"/>
              </w:rPr>
              <w:t>开发软件：华丹平台、狐表开发平台</w:t>
            </w:r>
            <w:r>
              <w:rPr>
                <w:rFonts w:hint="eastAsia" w:ascii="宋体" w:hAnsi="宋体"/>
                <w:szCs w:val="21"/>
              </w:rPr>
              <w:t>。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研发部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/>
                <w:b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513" w:type="dxa"/>
            <w:vMerge w:val="restart"/>
            <w:noWrap w:val="0"/>
            <w:vAlign w:val="center"/>
          </w:tcPr>
          <w:p>
            <w:pPr>
              <w:widowControl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人力资源管理过程</w:t>
            </w:r>
          </w:p>
          <w:p>
            <w:pPr>
              <w:widowControl/>
              <w:jc w:val="both"/>
              <w:rPr>
                <w:rFonts w:hint="default" w:ascii="宋体" w:hAnsi="宋体" w:eastAsia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7.1.2；7.2；7.3；7.4</w:t>
            </w:r>
          </w:p>
        </w:tc>
        <w:tc>
          <w:tcPr>
            <w:tcW w:w="2334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培训：</w:t>
            </w:r>
          </w:p>
          <w:p>
            <w:pPr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宋体"/>
                <w:szCs w:val="21"/>
              </w:rPr>
              <w:t>今年的培训计划以及目前实施了跟质量相关的培训计划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中的</w:t>
            </w:r>
            <w:r>
              <w:rPr>
                <w:rFonts w:hint="eastAsia" w:ascii="宋体" w:hAnsi="宋体"/>
                <w:szCs w:val="21"/>
              </w:rPr>
              <w:t>培训内容主要有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哪些？</w:t>
            </w:r>
          </w:p>
          <w:p>
            <w:pPr>
              <w:jc w:val="both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2、培训人员是否有证书？</w:t>
            </w:r>
          </w:p>
          <w:p>
            <w:pPr>
              <w:jc w:val="both"/>
              <w:rPr>
                <w:rFonts w:hint="eastAsia" w:ascii="宋体" w:hAnsi="宋体" w:eastAsia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3、培训后是否有相应的考核？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1、提供《2023年培训计划》（包括入职培训、公司内部业务培训、转正业务培训、网络学院培训以及外部培训）、《C6培训反馈表》；</w:t>
            </w:r>
          </w:p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2、技术岗位人员、专业岗位人员根据业务需求参与外训，获取相关证书；</w:t>
            </w:r>
          </w:p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3、培训后公司组织业务考核、转正考核，考核评估、外部培训参与证书考级。证书由专人存档</w:t>
            </w:r>
          </w:p>
        </w:tc>
        <w:tc>
          <w:tcPr>
            <w:tcW w:w="1726" w:type="dxa"/>
            <w:vMerge w:val="restart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eastAsia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人力资源部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1513" w:type="dxa"/>
            <w:vMerge w:val="continue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岗位职责：</w:t>
            </w:r>
          </w:p>
          <w:p>
            <w:pPr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特殊岗位是否有专业资格证书？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无强制要求；特殊技术工种如工程师有证优先上岗。</w:t>
            </w:r>
          </w:p>
        </w:tc>
        <w:tc>
          <w:tcPr>
            <w:tcW w:w="1726" w:type="dxa"/>
            <w:vMerge w:val="continue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6</w:t>
            </w:r>
          </w:p>
        </w:tc>
        <w:tc>
          <w:tcPr>
            <w:tcW w:w="1513" w:type="dxa"/>
            <w:noWrap w:val="0"/>
            <w:vAlign w:val="center"/>
          </w:tcPr>
          <w:p>
            <w:pPr>
              <w:widowControl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形成文件的信息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7.5</w:t>
            </w:r>
          </w:p>
        </w:tc>
        <w:tc>
          <w:tcPr>
            <w:tcW w:w="2334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文件控制：1、质量</w:t>
            </w:r>
            <w:r>
              <w:rPr>
                <w:rFonts w:ascii="宋体" w:hAnsi="宋体"/>
                <w:szCs w:val="21"/>
              </w:rPr>
              <w:t>手册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程序文件</w:t>
            </w:r>
            <w:r>
              <w:rPr>
                <w:rFonts w:hint="eastAsia" w:ascii="宋体" w:hAnsi="宋体"/>
                <w:szCs w:val="21"/>
              </w:rPr>
              <w:t>；</w:t>
            </w:r>
          </w:p>
          <w:p>
            <w:pPr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</w:t>
            </w:r>
            <w:r>
              <w:rPr>
                <w:rFonts w:ascii="宋体" w:hAnsi="宋体"/>
                <w:szCs w:val="21"/>
              </w:rPr>
              <w:t>文件发放记录，更改记录，质量标准清单（有无更新） </w:t>
            </w:r>
          </w:p>
          <w:p>
            <w:pPr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3、</w:t>
            </w:r>
            <w:r>
              <w:rPr>
                <w:rFonts w:ascii="宋体" w:hAnsi="宋体"/>
                <w:szCs w:val="21"/>
              </w:rPr>
              <w:t>外来文件清单，知识清单 </w:t>
            </w:r>
          </w:p>
          <w:p>
            <w:pPr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1、提供相应的文件电子档；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2、文件发放记录：</w:t>
            </w:r>
            <w:r>
              <w:rPr>
                <w:rFonts w:hint="eastAsia" w:ascii="宋体" w:hAnsi="宋体"/>
                <w:szCs w:val="21"/>
              </w:rPr>
              <w:t>需求部门提出文件变更-行政部走公司领导审批流程-审批通过后通过邮件下发全公司-更新OA中文档中心（行政部ISO文件知识库）-开放相应的权限给各部门相关接口人供下载；</w:t>
            </w:r>
          </w:p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3、齐普生2021年法律法规清单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行政部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7" w:hRule="atLeast"/>
        </w:trPr>
        <w:tc>
          <w:tcPr>
            <w:tcW w:w="675" w:type="dxa"/>
            <w:vMerge w:val="restart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7</w:t>
            </w:r>
          </w:p>
        </w:tc>
        <w:tc>
          <w:tcPr>
            <w:tcW w:w="1513" w:type="dxa"/>
            <w:vMerge w:val="restart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计算机软硬件销售及技术服务过程</w:t>
            </w:r>
          </w:p>
          <w:p>
            <w:pPr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6.1；7.4；8.4；8.5.2；8.5.4；9.1.3</w:t>
            </w:r>
          </w:p>
        </w:tc>
        <w:tc>
          <w:tcPr>
            <w:tcW w:w="2334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售前支持方案</w:t>
            </w:r>
            <w:r>
              <w:rPr>
                <w:rFonts w:hint="eastAsia" w:ascii="宋体" w:hAnsi="宋体"/>
                <w:b/>
                <w:szCs w:val="21"/>
              </w:rPr>
              <w:t>：</w:t>
            </w:r>
          </w:p>
          <w:p>
            <w:pPr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提供相对应的售前</w:t>
            </w:r>
            <w:r>
              <w:rPr>
                <w:rFonts w:ascii="宋体" w:hAnsi="宋体"/>
                <w:szCs w:val="21"/>
              </w:rPr>
              <w:t>合同或协议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提供技术服务方案、</w:t>
            </w:r>
            <w:r>
              <w:rPr>
                <w:rFonts w:ascii="宋体" w:hAnsi="宋体"/>
                <w:szCs w:val="21"/>
              </w:rPr>
              <w:t>需求沟通记录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ascii="宋体" w:hAnsi="宋体"/>
                <w:szCs w:val="21"/>
              </w:rPr>
              <w:t>渠道或客户做前期的规划沟通记录</w:t>
            </w:r>
            <w:r>
              <w:rPr>
                <w:rFonts w:hint="eastAsia" w:ascii="宋体" w:hAnsi="宋体"/>
                <w:szCs w:val="21"/>
              </w:rPr>
              <w:t>。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1、《售前服务合同》</w:t>
            </w:r>
          </w:p>
          <w:p>
            <w:pPr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2、《售前设计方案》</w:t>
            </w:r>
          </w:p>
          <w:p>
            <w:pPr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3、《设备选型清单》</w:t>
            </w:r>
          </w:p>
          <w:p>
            <w:pPr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4、《合同评审表》</w:t>
            </w:r>
          </w:p>
          <w:p>
            <w:pPr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5、《售前服务验收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报告</w:t>
            </w:r>
            <w:r>
              <w:rPr>
                <w:rFonts w:hint="eastAsia" w:ascii="宋体" w:hAnsi="宋体"/>
                <w:szCs w:val="21"/>
              </w:rPr>
              <w:t>》</w:t>
            </w:r>
          </w:p>
          <w:p>
            <w:pPr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6、《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售前</w:t>
            </w:r>
            <w:r>
              <w:rPr>
                <w:rFonts w:hint="eastAsia" w:ascii="宋体" w:hAnsi="宋体"/>
                <w:szCs w:val="21"/>
              </w:rPr>
              <w:t>客户拜访记录表》</w:t>
            </w:r>
          </w:p>
          <w:p>
            <w:pPr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7、《项目邮件沟通记录》</w:t>
            </w:r>
          </w:p>
          <w:p>
            <w:pPr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8、</w:t>
            </w:r>
            <w:r>
              <w:rPr>
                <w:rFonts w:hint="eastAsia" w:ascii="宋体" w:hAnsi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《渠道拜访记录》（截图）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技术支持部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、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分销系统部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1513" w:type="dxa"/>
            <w:vMerge w:val="continue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合同管理</w:t>
            </w:r>
            <w:r>
              <w:rPr>
                <w:rFonts w:hint="eastAsia" w:ascii="宋体" w:hAnsi="宋体"/>
                <w:b/>
                <w:szCs w:val="21"/>
              </w:rPr>
              <w:t>：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1、提供</w:t>
            </w:r>
            <w:r>
              <w:rPr>
                <w:rFonts w:ascii="宋体" w:hAnsi="宋体"/>
                <w:szCs w:val="21"/>
              </w:rPr>
              <w:t>三个公司提供的销售合同的评审记录</w:t>
            </w:r>
            <w:r>
              <w:rPr>
                <w:rFonts w:hint="eastAsia" w:ascii="宋体" w:hAnsi="宋体"/>
                <w:szCs w:val="21"/>
              </w:rPr>
              <w:t>。（也就是</w:t>
            </w:r>
            <w:r>
              <w:rPr>
                <w:rFonts w:ascii="宋体" w:hAnsi="宋体"/>
                <w:szCs w:val="21"/>
              </w:rPr>
              <w:t>提供合同审批记录</w:t>
            </w:r>
            <w:r>
              <w:rPr>
                <w:rFonts w:hint="eastAsia" w:ascii="宋体" w:hAnsi="宋体"/>
                <w:szCs w:val="21"/>
              </w:rPr>
              <w:t>）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</w:t>
            </w:r>
            <w:r>
              <w:rPr>
                <w:rFonts w:ascii="宋体" w:hAnsi="宋体"/>
                <w:szCs w:val="21"/>
              </w:rPr>
              <w:t>合同评审一般有哪些人参与？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3、提供</w:t>
            </w:r>
            <w:r>
              <w:rPr>
                <w:rFonts w:ascii="宋体" w:hAnsi="宋体"/>
                <w:szCs w:val="21"/>
              </w:rPr>
              <w:t>三个合同的订单来源</w:t>
            </w:r>
            <w:r>
              <w:rPr>
                <w:rFonts w:hint="eastAsia" w:ascii="宋体" w:hAnsi="宋体"/>
                <w:szCs w:val="21"/>
              </w:rPr>
              <w:t>，也就是执行单，以什么方式发送。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 w:eastAsia="宋体" w:cs="Verdana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1、信用管理部-《合同及协议评审管理办法》、《合同资料核查管理办法》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、《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合同评审表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》</w:t>
            </w:r>
          </w:p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2、</w:t>
            </w:r>
            <w:r>
              <w:rPr>
                <w:rFonts w:ascii="宋体" w:hAnsi="宋体"/>
                <w:szCs w:val="21"/>
              </w:rPr>
              <w:t>商务部订单接口初审---&gt;信用管理部审核---&gt;</w:t>
            </w:r>
            <w:r>
              <w:rPr>
                <w:rFonts w:hint="eastAsia" w:ascii="宋体" w:hAnsi="宋体"/>
                <w:szCs w:val="21"/>
                <w:lang w:eastAsia="zh-CN"/>
              </w:rPr>
              <w:t>商务部</w:t>
            </w:r>
            <w:bookmarkStart w:id="0" w:name="_GoBack"/>
            <w:bookmarkEnd w:id="0"/>
            <w:r>
              <w:rPr>
                <w:rFonts w:ascii="宋体" w:hAnsi="宋体"/>
                <w:szCs w:val="21"/>
              </w:rPr>
              <w:t>订单专员复审---&gt;超出审核范围的还需要区域总监审批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最终由总裁签字核准。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信用管理部、商务部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1513" w:type="dxa"/>
            <w:vMerge w:val="continue"/>
            <w:noWrap w:val="0"/>
            <w:vAlign w:val="center"/>
          </w:tcPr>
          <w:p>
            <w:pPr>
              <w:numPr>
                <w:ilvl w:val="0"/>
                <w:numId w:val="0"/>
              </w:numPr>
              <w:spacing w:line="380" w:lineRule="exact"/>
              <w:ind w:left="0" w:leftChars="0" w:firstLine="0" w:firstLineChars="0"/>
              <w:jc w:val="both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spacing w:line="380" w:lineRule="exact"/>
              <w:jc w:val="both"/>
              <w:rPr>
                <w:rFonts w:hint="default" w:ascii="宋体" w:hAnsi="宋体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过程及服务：</w:t>
            </w:r>
          </w:p>
          <w:p>
            <w:pPr>
              <w:numPr>
                <w:ilvl w:val="0"/>
                <w:numId w:val="0"/>
              </w:numPr>
              <w:spacing w:line="380" w:lineRule="exact"/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1、</w:t>
            </w:r>
            <w:r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  <w:t>简述下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规划管理中的销售流程。</w:t>
            </w:r>
          </w:p>
          <w:p>
            <w:pPr>
              <w:numPr>
                <w:ilvl w:val="0"/>
                <w:numId w:val="0"/>
              </w:numPr>
              <w:spacing w:line="380" w:lineRule="exact"/>
              <w:ind w:left="0" w:leftChars="0" w:firstLine="0" w:firstLineChars="0"/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2、有无质保期内的售后服务记录？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spacing w:line="380" w:lineRule="exact"/>
              <w:jc w:val="both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1、订单接收-合同签订-采购-到货验收-出货</w:t>
            </w:r>
          </w:p>
          <w:p>
            <w:pPr>
              <w:numPr>
                <w:ilvl w:val="0"/>
                <w:numId w:val="0"/>
              </w:numPr>
              <w:spacing w:line="380" w:lineRule="exact"/>
              <w:ind w:left="0" w:leftChars="0" w:firstLine="0" w:firstLineChars="0"/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2、提供《售后服务拜访记录表》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kern w:val="2"/>
                <w:sz w:val="21"/>
                <w:szCs w:val="21"/>
                <w:shd w:val="clear" w:color="auto" w:fill="FFFFFF"/>
                <w:lang w:val="en-US" w:eastAsia="zh-CN" w:bidi="ar-SA"/>
              </w:rPr>
              <w:t>商务部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8" w:hRule="atLeas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1513" w:type="dxa"/>
            <w:vMerge w:val="continue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采购订单</w:t>
            </w:r>
            <w:r>
              <w:rPr>
                <w:rFonts w:hint="eastAsia" w:ascii="宋体" w:hAnsi="宋体"/>
                <w:b/>
                <w:szCs w:val="21"/>
              </w:rPr>
              <w:t>：</w:t>
            </w:r>
          </w:p>
          <w:p>
            <w:pPr>
              <w:numPr>
                <w:ilvl w:val="0"/>
                <w:numId w:val="0"/>
              </w:numPr>
              <w:spacing w:line="380" w:lineRule="exact"/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1、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业务简述；</w:t>
            </w:r>
          </w:p>
          <w:p>
            <w:pPr>
              <w:numPr>
                <w:ilvl w:val="0"/>
                <w:numId w:val="0"/>
              </w:numPr>
              <w:spacing w:line="380" w:lineRule="exact"/>
              <w:jc w:val="both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2、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三类供应商的管理制度；</w:t>
            </w:r>
          </w:p>
          <w:p>
            <w:pPr>
              <w:spacing w:line="380" w:lineRule="exact"/>
              <w:jc w:val="both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采购如何管理；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如何验货；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1、</w:t>
            </w:r>
            <w:r>
              <w:rPr>
                <w:rFonts w:hint="eastAsia"/>
                <w:lang w:val="en-US" w:eastAsia="zh-CN"/>
              </w:rPr>
              <w:t>厂</w:t>
            </w:r>
            <w:r>
              <w:rPr>
                <w:rFonts w:hint="eastAsia"/>
              </w:rPr>
              <w:t>商采购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外购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固定</w:t>
            </w:r>
            <w:r>
              <w:rPr>
                <w:rFonts w:hint="eastAsia"/>
                <w:lang w:val="en-US" w:eastAsia="zh-CN"/>
              </w:rPr>
              <w:t>采购；</w:t>
            </w:r>
          </w:p>
          <w:p>
            <w:pPr>
              <w:jc w:val="both"/>
              <w:rPr>
                <w:rFonts w:hint="eastAsia" w:ascii="宋体" w:hAnsi="宋体"/>
                <w:szCs w:val="21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2、提供</w:t>
            </w:r>
            <w:r>
              <w:rPr>
                <w:rFonts w:ascii="宋体" w:hAnsi="宋体"/>
                <w:szCs w:val="21"/>
              </w:rPr>
              <w:t>供应商名录、年度评价、新供应商的资料及评价记录</w:t>
            </w:r>
            <w:r>
              <w:rPr>
                <w:rFonts w:hint="eastAsia" w:ascii="宋体" w:hAnsi="宋体"/>
                <w:szCs w:val="21"/>
                <w:lang w:eastAsia="zh-CN"/>
              </w:rPr>
              <w:t>；</w:t>
            </w:r>
          </w:p>
          <w:p>
            <w:pPr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3、提供采购管理规定；</w:t>
            </w:r>
          </w:p>
          <w:p>
            <w:pPr>
              <w:jc w:val="both"/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  <w:t>4、原装产品无法拆验，提供到货单、出库装箱单、项目货物验收及对账单；</w:t>
            </w:r>
          </w:p>
          <w:p>
            <w:pPr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</w:pP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商务部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1513" w:type="dxa"/>
            <w:vMerge w:val="continue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bCs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  <w:lang w:val="en-US" w:eastAsia="zh-CN"/>
              </w:rPr>
              <w:t>防护：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1、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仓库如何管理；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5、提供仓库的管理规定或仓库巡检记录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技术服务中心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4" w:hRule="atLeast"/>
        </w:trPr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1513" w:type="dxa"/>
            <w:vMerge w:val="continue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szCs w:val="21"/>
                <w:highlight w:val="none"/>
              </w:rPr>
              <w:t>相关技术服务：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提供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售前售后的</w:t>
            </w:r>
            <w:r>
              <w:rPr>
                <w:rFonts w:hint="eastAsia" w:ascii="宋体" w:hAnsi="宋体"/>
                <w:szCs w:val="21"/>
                <w:highlight w:val="none"/>
              </w:rPr>
              <w:t>服务合同及方案，提供技术服务证明材料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提供《售前客户拜访记录表》、《售后服务热线记录》《服务沟通记录-微信截图》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商务部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、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技术服务中心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1513" w:type="dxa"/>
            <w:vMerge w:val="continue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  <w:highlight w:val="none"/>
              </w:rPr>
            </w:pPr>
            <w:r>
              <w:rPr>
                <w:rFonts w:ascii="宋体" w:hAnsi="宋体"/>
                <w:b/>
                <w:szCs w:val="21"/>
                <w:highlight w:val="none"/>
              </w:rPr>
              <w:t>退货</w:t>
            </w:r>
            <w:r>
              <w:rPr>
                <w:rFonts w:hint="eastAsia" w:ascii="宋体" w:hAnsi="宋体"/>
                <w:b/>
                <w:szCs w:val="21"/>
                <w:highlight w:val="none"/>
              </w:rPr>
              <w:t>：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1、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退换货的过程记录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提供《RMA备件申请统计表》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技术服务中心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8</w:t>
            </w:r>
          </w:p>
        </w:tc>
        <w:tc>
          <w:tcPr>
            <w:tcW w:w="1513" w:type="dxa"/>
            <w:noWrap w:val="0"/>
            <w:vAlign w:val="top"/>
          </w:tcPr>
          <w:p>
            <w:pPr>
              <w:widowControl/>
              <w:jc w:val="left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外部提供过程、产品和服务</w:t>
            </w:r>
          </w:p>
          <w:p>
            <w:pPr>
              <w:spacing w:line="380" w:lineRule="exact"/>
              <w:jc w:val="left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8.4</w:t>
            </w:r>
            <w:r>
              <w:rPr>
                <w:rFonts w:hint="eastAsia" w:ascii="宋体" w:hAnsi="宋体" w:cs="宋体"/>
                <w:b/>
                <w:kern w:val="0"/>
                <w:szCs w:val="21"/>
              </w:rPr>
              <w:t> </w:t>
            </w:r>
          </w:p>
        </w:tc>
        <w:tc>
          <w:tcPr>
            <w:tcW w:w="2334" w:type="dxa"/>
            <w:noWrap w:val="0"/>
            <w:vAlign w:val="top"/>
          </w:tcPr>
          <w:p>
            <w:pPr>
              <w:spacing w:line="380" w:lineRule="exact"/>
              <w:jc w:val="left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外部供方</w:t>
            </w:r>
            <w:r>
              <w:rPr>
                <w:rFonts w:hint="eastAsia" w:ascii="宋体" w:hAnsi="宋体"/>
                <w:b/>
                <w:szCs w:val="21"/>
              </w:rPr>
              <w:t>：</w:t>
            </w:r>
          </w:p>
          <w:p>
            <w:pPr>
              <w:spacing w:line="380" w:lineRule="exact"/>
              <w:jc w:val="lef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</w:rPr>
              <w:t>提供</w:t>
            </w:r>
            <w:r>
              <w:rPr>
                <w:rFonts w:ascii="宋体" w:hAnsi="宋体"/>
                <w:szCs w:val="21"/>
              </w:rPr>
              <w:t>奇安信和紫光</w:t>
            </w:r>
            <w:r>
              <w:rPr>
                <w:rFonts w:hint="eastAsia" w:ascii="宋体" w:hAnsi="宋体"/>
                <w:szCs w:val="21"/>
              </w:rPr>
              <w:t>资料及，</w:t>
            </w:r>
            <w:r>
              <w:rPr>
                <w:rFonts w:ascii="宋体" w:hAnsi="宋体"/>
                <w:szCs w:val="21"/>
              </w:rPr>
              <w:t>评价资料</w:t>
            </w:r>
            <w:r>
              <w:rPr>
                <w:rFonts w:hint="eastAsia" w:ascii="宋体" w:hAnsi="宋体"/>
                <w:szCs w:val="21"/>
              </w:rPr>
              <w:t>；提供</w:t>
            </w:r>
            <w:r>
              <w:rPr>
                <w:rFonts w:ascii="宋体" w:hAnsi="宋体"/>
                <w:szCs w:val="21"/>
              </w:rPr>
              <w:t>主要常合作供应商的年度评价资料</w:t>
            </w:r>
            <w:r>
              <w:rPr>
                <w:rFonts w:hint="eastAsia" w:ascii="宋体" w:hAnsi="宋体"/>
                <w:szCs w:val="21"/>
              </w:rPr>
              <w:t>。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</w:rPr>
              <w:t>《采购管理规定》</w:t>
            </w:r>
            <w:r>
              <w:rPr>
                <w:rFonts w:hint="eastAsia" w:ascii="宋体" w:hAnsi="宋体"/>
                <w:szCs w:val="21"/>
              </w:rPr>
              <w:t>，《到货单》、《物流公司协议》、《物流公司定期评价表》、《发货单》、《装箱单》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商务部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4" w:hRule="atLeast"/>
        </w:trPr>
        <w:tc>
          <w:tcPr>
            <w:tcW w:w="675" w:type="dxa"/>
            <w:vMerge w:val="restart"/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9</w:t>
            </w:r>
          </w:p>
        </w:tc>
        <w:tc>
          <w:tcPr>
            <w:tcW w:w="1513" w:type="dxa"/>
            <w:vMerge w:val="restart"/>
            <w:noWrap w:val="0"/>
            <w:vAlign w:val="center"/>
          </w:tcPr>
          <w:p>
            <w:pPr>
              <w:widowControl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应用软件设计开发过程、</w:t>
            </w:r>
          </w:p>
          <w:p>
            <w:pPr>
              <w:widowControl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监视和测量资源管理过程</w:t>
            </w:r>
          </w:p>
          <w:p>
            <w:pPr>
              <w:widowControl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6.1；7.1.5；7.1.6；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7.4；</w:t>
            </w:r>
            <w:r>
              <w:rPr>
                <w:rFonts w:hint="eastAsia" w:ascii="宋体" w:hAnsi="宋体"/>
                <w:szCs w:val="21"/>
              </w:rPr>
              <w:t>8.1；8.3；8.5；</w:t>
            </w:r>
          </w:p>
          <w:p>
            <w:pPr>
              <w:widowControl/>
              <w:jc w:val="both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8.6；8.7；9.1.3a）</w:t>
            </w: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应用软件开发</w:t>
            </w:r>
            <w:r>
              <w:rPr>
                <w:rFonts w:hint="eastAsia" w:ascii="宋体" w:hAnsi="宋体"/>
                <w:szCs w:val="21"/>
              </w:rPr>
              <w:t>：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从产品开发立项开始到验收全过程资料， 提供两套开发资料（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股份和数字公司</w:t>
            </w:r>
            <w:r>
              <w:rPr>
                <w:rFonts w:hint="eastAsia" w:ascii="宋体" w:hAnsi="宋体"/>
                <w:szCs w:val="21"/>
              </w:rPr>
              <w:t>各准备一套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材料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立项-评审-需求说明-评审-概要设计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详细设计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数据库设计-评审-代码设计，走查记录-BUG测试和修复-单元测试-系统测试</w:t>
            </w:r>
            <w:r>
              <w:rPr>
                <w:rFonts w:hint="eastAsia" w:ascii="宋体" w:hAnsi="宋体"/>
                <w:szCs w:val="21"/>
              </w:rPr>
              <w:t>-</w:t>
            </w:r>
            <w:r>
              <w:rPr>
                <w:rFonts w:ascii="宋体" w:hAnsi="宋体"/>
                <w:szCs w:val="21"/>
              </w:rPr>
              <w:t>上线运行</w:t>
            </w:r>
            <w:r>
              <w:rPr>
                <w:rFonts w:hint="eastAsia" w:ascii="宋体" w:hAnsi="宋体"/>
                <w:szCs w:val="21"/>
              </w:rPr>
              <w:t>-</w:t>
            </w:r>
            <w:r>
              <w:rPr>
                <w:rFonts w:ascii="宋体" w:hAnsi="宋体"/>
                <w:szCs w:val="21"/>
              </w:rPr>
              <w:t>内部验收</w:t>
            </w:r>
            <w:r>
              <w:rPr>
                <w:rFonts w:hint="eastAsia" w:ascii="宋体" w:hAnsi="宋体"/>
                <w:szCs w:val="21"/>
              </w:rPr>
              <w:t>。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研发部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513" w:type="dxa"/>
            <w:vMerge w:val="continue"/>
            <w:noWrap w:val="0"/>
            <w:vAlign w:val="center"/>
          </w:tcPr>
          <w:p>
            <w:pPr>
              <w:widowControl/>
              <w:jc w:val="both"/>
              <w:rPr>
                <w:rFonts w:hint="eastAsia" w:ascii="宋体" w:hAnsi="宋体"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监视测量部分</w:t>
            </w:r>
            <w:r>
              <w:rPr>
                <w:rFonts w:hint="eastAsia" w:ascii="宋体" w:hAnsi="宋体"/>
                <w:b/>
                <w:szCs w:val="21"/>
              </w:rPr>
              <w:t>：</w:t>
            </w:r>
          </w:p>
          <w:p>
            <w:pPr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</w:t>
            </w:r>
            <w:r>
              <w:rPr>
                <w:rFonts w:ascii="宋体" w:hAnsi="宋体"/>
                <w:szCs w:val="21"/>
              </w:rPr>
              <w:t>要开发和测试软件的名称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版本</w:t>
            </w:r>
            <w:r>
              <w:rPr>
                <w:rFonts w:hint="eastAsia" w:ascii="宋体" w:hAnsi="宋体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以及对这些软件是否满足开发和测试需要的判定）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2、提供</w:t>
            </w:r>
            <w:r>
              <w:rPr>
                <w:rFonts w:ascii="宋体" w:hAnsi="宋体"/>
                <w:szCs w:val="21"/>
              </w:rPr>
              <w:t>软件开发和测试工具的名称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版本</w:t>
            </w:r>
            <w:r>
              <w:rPr>
                <w:rFonts w:hint="eastAsia" w:ascii="宋体" w:hAnsi="宋体"/>
                <w:szCs w:val="21"/>
                <w:lang w:eastAsia="zh-CN"/>
              </w:rPr>
              <w:t>，以及</w:t>
            </w:r>
            <w:r>
              <w:rPr>
                <w:rFonts w:ascii="宋体" w:hAnsi="宋体"/>
                <w:szCs w:val="21"/>
              </w:rPr>
              <w:t>对这些工具的满足开发的判定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2个测试用例（截图就行）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提供</w:t>
            </w:r>
            <w:r>
              <w:rPr>
                <w:rFonts w:hint="eastAsia" w:ascii="宋体" w:hAnsi="宋体"/>
                <w:szCs w:val="21"/>
                <w:lang w:eastAsia="zh-CN"/>
              </w:rPr>
              <w:t>《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软件开发+销售+技术服务流程图</w:t>
            </w:r>
            <w:r>
              <w:rPr>
                <w:rFonts w:hint="eastAsia" w:ascii="宋体" w:hAnsi="宋体"/>
                <w:szCs w:val="21"/>
                <w:lang w:eastAsia="zh-CN"/>
              </w:rPr>
              <w:t>》</w:t>
            </w:r>
          </w:p>
          <w:p>
            <w:pPr>
              <w:jc w:val="both"/>
              <w:rPr>
                <w:rFonts w:ascii="宋体" w:hAnsi="宋体"/>
                <w:szCs w:val="21"/>
              </w:rPr>
            </w:pP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研发部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、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技术服务中心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restart"/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10</w:t>
            </w:r>
          </w:p>
        </w:tc>
        <w:tc>
          <w:tcPr>
            <w:tcW w:w="1513" w:type="dxa"/>
            <w:vMerge w:val="restart"/>
            <w:noWrap w:val="0"/>
            <w:vAlign w:val="center"/>
          </w:tcPr>
          <w:p>
            <w:pPr>
              <w:widowControl/>
              <w:jc w:val="both"/>
              <w:rPr>
                <w:rFonts w:hint="eastAsia" w:ascii="宋体" w:hAnsi="宋体"/>
                <w:b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szCs w:val="21"/>
                <w:highlight w:val="none"/>
              </w:rPr>
              <w:t>计算机信息系统集成运维服务-</w:t>
            </w:r>
          </w:p>
          <w:p>
            <w:pPr>
              <w:widowControl/>
              <w:jc w:val="both"/>
              <w:rPr>
                <w:rFonts w:hint="eastAsia" w:ascii="宋体" w:hAnsi="宋体"/>
                <w:b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szCs w:val="21"/>
                <w:highlight w:val="none"/>
              </w:rPr>
              <w:t>监视和测量资源管理过程</w:t>
            </w:r>
          </w:p>
          <w:p>
            <w:pPr>
              <w:widowControl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6.1；7.1.5；7.1.6；7.4；8.1；8.3；8.5；8.6；8.7；9.1.3a）</w:t>
            </w:r>
          </w:p>
        </w:tc>
        <w:tc>
          <w:tcPr>
            <w:tcW w:w="2334" w:type="dxa"/>
            <w:noWrap w:val="0"/>
            <w:vAlign w:val="center"/>
          </w:tcPr>
          <w:p>
            <w:pPr>
              <w:widowControl/>
              <w:jc w:val="both"/>
              <w:rPr>
                <w:rFonts w:hint="eastAsia" w:ascii="宋体" w:hAnsi="宋体"/>
                <w:b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szCs w:val="21"/>
                <w:highlight w:val="none"/>
              </w:rPr>
              <w:t>计算机信息系统集成运维服务：</w:t>
            </w:r>
          </w:p>
          <w:p>
            <w:pPr>
              <w:widowControl/>
              <w:jc w:val="both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项目：2</w:t>
            </w:r>
            <w:r>
              <w:rPr>
                <w:highlight w:val="none"/>
              </w:rPr>
              <w:t>021</w:t>
            </w:r>
            <w:r>
              <w:rPr>
                <w:rFonts w:hint="eastAsia"/>
                <w:highlight w:val="none"/>
              </w:rPr>
              <w:t>年云南省机场集团本部及州市机</w:t>
            </w:r>
            <w:r>
              <w:rPr>
                <w:rFonts w:hint="eastAsia"/>
                <w:highlight w:val="none"/>
                <w:lang w:val="en-US" w:eastAsia="zh-CN"/>
              </w:rPr>
              <w:t>场</w:t>
            </w:r>
            <w:r>
              <w:rPr>
                <w:rFonts w:hint="eastAsia"/>
                <w:highlight w:val="none"/>
              </w:rPr>
              <w:t xml:space="preserve">网络设备维保项目   </w:t>
            </w:r>
          </w:p>
          <w:p>
            <w:pPr>
              <w:widowControl/>
              <w:jc w:val="both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地址： 云南省昆明市官渡区春城路286号 集团本部数据中心机房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简单介绍一下项目情况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1、</w:t>
            </w:r>
            <w:r>
              <w:rPr>
                <w:rFonts w:hint="eastAsia" w:ascii="宋体" w:hAnsi="宋体"/>
                <w:szCs w:val="21"/>
                <w:highlight w:val="none"/>
              </w:rPr>
              <w:t>提供</w:t>
            </w:r>
            <w:r>
              <w:rPr>
                <w:rFonts w:hint="eastAsia" w:ascii="宋体" w:hAnsi="宋体"/>
                <w:szCs w:val="21"/>
                <w:highlight w:val="none"/>
                <w:lang w:eastAsia="zh-CN"/>
              </w:rPr>
              <w:t>：</w:t>
            </w:r>
            <w:r>
              <w:rPr>
                <w:rFonts w:ascii="宋体" w:hAnsi="宋体"/>
                <w:szCs w:val="21"/>
                <w:highlight w:val="none"/>
              </w:rPr>
              <w:t>项目的合同</w:t>
            </w:r>
            <w:r>
              <w:rPr>
                <w:rFonts w:hint="eastAsia" w:ascii="宋体" w:hAnsi="宋体"/>
                <w:szCs w:val="21"/>
                <w:highlight w:val="none"/>
                <w:lang w:eastAsia="zh-CN"/>
              </w:rPr>
              <w:t>、</w:t>
            </w:r>
            <w:r>
              <w:rPr>
                <w:rFonts w:ascii="宋体" w:hAnsi="宋体"/>
                <w:szCs w:val="21"/>
                <w:highlight w:val="none"/>
              </w:rPr>
              <w:t>方案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及相应的评审、评审记录；</w:t>
            </w:r>
          </w:p>
          <w:p>
            <w:pPr>
              <w:numPr>
                <w:ilvl w:val="0"/>
                <w:numId w:val="0"/>
              </w:num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2、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集成的相关作业文件（参考《硬件集成临时现场》）；</w:t>
            </w:r>
          </w:p>
          <w:p>
            <w:pPr>
              <w:numPr>
                <w:ilvl w:val="0"/>
                <w:numId w:val="0"/>
              </w:num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3、已完成验收项目的验收报告；</w:t>
            </w:r>
          </w:p>
          <w:p>
            <w:pPr>
              <w:numPr>
                <w:ilvl w:val="0"/>
                <w:numId w:val="0"/>
              </w:numPr>
              <w:spacing w:line="380" w:lineRule="exact"/>
              <w:ind w:left="0" w:leftChars="0" w:firstLine="0" w:firstLineChars="0"/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4、售后服务记录(微信截图、服务热线记录表）</w:t>
            </w:r>
          </w:p>
        </w:tc>
        <w:tc>
          <w:tcPr>
            <w:tcW w:w="1726" w:type="dxa"/>
            <w:vMerge w:val="restart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</w:p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技术服务中心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513" w:type="dxa"/>
            <w:vMerge w:val="continue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日常巡检使用的工具有什么？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1、</w:t>
            </w:r>
            <w:r>
              <w:rPr>
                <w:rFonts w:ascii="宋体" w:hAnsi="宋体"/>
                <w:szCs w:val="21"/>
                <w:highlight w:val="none"/>
              </w:rPr>
              <w:t>硬件：笔记本电脑、尾纤、模块、红光笔、测线仪、一字螺丝刀、十字螺丝刀、备件（交换机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</w:t>
            </w:r>
            <w:r>
              <w:rPr>
                <w:rFonts w:ascii="宋体" w:hAnsi="宋体"/>
                <w:szCs w:val="21"/>
                <w:highlight w:val="none"/>
              </w:rPr>
              <w:t>板卡等）、模拟器</w:t>
            </w:r>
            <w:r>
              <w:rPr>
                <w:rFonts w:hint="eastAsia" w:ascii="宋体" w:hAnsi="宋体"/>
                <w:szCs w:val="21"/>
                <w:highlight w:val="none"/>
              </w:rPr>
              <w:t>；</w:t>
            </w:r>
          </w:p>
          <w:p>
            <w:pPr>
              <w:spacing w:line="380" w:lineRule="exact"/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2、</w:t>
            </w:r>
            <w:r>
              <w:rPr>
                <w:rFonts w:ascii="宋体" w:hAnsi="宋体"/>
                <w:szCs w:val="21"/>
                <w:highlight w:val="none"/>
              </w:rPr>
              <w:t>软件：CRT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 </w:t>
            </w:r>
            <w:r>
              <w:rPr>
                <w:rFonts w:ascii="宋体" w:hAnsi="宋体"/>
                <w:szCs w:val="21"/>
                <w:highlight w:val="none"/>
              </w:rPr>
              <w:t>Putty向日葵、TopDesk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</w:t>
            </w:r>
            <w:r>
              <w:rPr>
                <w:rFonts w:ascii="宋体" w:hAnsi="宋体"/>
                <w:szCs w:val="21"/>
                <w:highlight w:val="none"/>
              </w:rPr>
              <w:t>Ukey</w:t>
            </w:r>
            <w:r>
              <w:rPr>
                <w:rFonts w:hint="eastAsia" w:ascii="宋体" w:hAnsi="宋体"/>
                <w:szCs w:val="21"/>
                <w:highlight w:val="none"/>
              </w:rPr>
              <w:t>；</w:t>
            </w:r>
          </w:p>
        </w:tc>
        <w:tc>
          <w:tcPr>
            <w:tcW w:w="1726" w:type="dxa"/>
            <w:vMerge w:val="continue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513" w:type="dxa"/>
            <w:vMerge w:val="continue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widowControl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运维项目视频连线视察</w:t>
            </w:r>
          </w:p>
          <w:p>
            <w:pPr>
              <w:widowControl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（需拍照做记录，参考《运维项目现场资料》）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日常巡检使用的工具：电脑及使用的软件；</w:t>
            </w:r>
          </w:p>
          <w:p>
            <w:pPr>
              <w:numPr>
                <w:ilvl w:val="0"/>
                <w:numId w:val="0"/>
              </w:numPr>
              <w:spacing w:line="380" w:lineRule="exact"/>
              <w:jc w:val="both"/>
              <w:rPr>
                <w:rFonts w:hint="default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2、机房状况：机柜线缆标识；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3、巡检各设备的状态：UPS运行、电源、消防控制系统、服务器、核心交换机等；</w:t>
            </w:r>
          </w:p>
          <w:p>
            <w:pPr>
              <w:spacing w:line="380" w:lineRule="exact"/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4、提供巡检记录表</w:t>
            </w:r>
          </w:p>
        </w:tc>
        <w:tc>
          <w:tcPr>
            <w:tcW w:w="1726" w:type="dxa"/>
            <w:vMerge w:val="continue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restart"/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11</w:t>
            </w:r>
          </w:p>
        </w:tc>
        <w:tc>
          <w:tcPr>
            <w:tcW w:w="1513" w:type="dxa"/>
            <w:vMerge w:val="restart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绩效评价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9.1.1</w:t>
            </w:r>
          </w:p>
        </w:tc>
        <w:tc>
          <w:tcPr>
            <w:tcW w:w="2334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spacing w:line="380" w:lineRule="exact"/>
              <w:jc w:val="both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1、</w:t>
            </w:r>
            <w:r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  <w:t>任务规划怎么制定？</w:t>
            </w:r>
          </w:p>
          <w:p>
            <w:pPr>
              <w:numPr>
                <w:ilvl w:val="0"/>
                <w:numId w:val="0"/>
              </w:numPr>
              <w:spacing w:line="380" w:lineRule="exact"/>
              <w:jc w:val="both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2、</w:t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规划的内容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有哪些？</w:t>
            </w:r>
          </w:p>
          <w:p>
            <w:pPr>
              <w:numPr>
                <w:ilvl w:val="0"/>
                <w:numId w:val="0"/>
              </w:numPr>
              <w:spacing w:line="380" w:lineRule="exact"/>
              <w:ind w:left="0" w:leftChars="0" w:firstLine="0" w:firstLineChars="0"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2、</w:t>
            </w:r>
            <w:r>
              <w:rPr>
                <w:rFonts w:hint="eastAsia"/>
              </w:rPr>
              <w:t>销售目标责任书</w:t>
            </w:r>
            <w:r>
              <w:rPr>
                <w:rFonts w:hint="eastAsia"/>
                <w:lang w:val="en-US" w:eastAsia="zh-CN"/>
              </w:rPr>
              <w:t>如何落实？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default" w:ascii="宋体" w:hAnsi="宋体" w:cs="Verdana"/>
                <w:szCs w:val="21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highlight w:val="none"/>
                <w:shd w:val="clear" w:color="auto" w:fill="FFFFFF"/>
                <w:lang w:val="en-US" w:eastAsia="zh-CN"/>
              </w:rPr>
              <w:t>1、制定年度规划后，每个季度下发季度规划；</w:t>
            </w:r>
          </w:p>
          <w:p>
            <w:pPr>
              <w:spacing w:line="380" w:lineRule="exact"/>
              <w:jc w:val="both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highlight w:val="none"/>
                <w:shd w:val="clear" w:color="auto" w:fill="FFFFFF"/>
                <w:lang w:val="en-US" w:eastAsia="zh-CN"/>
              </w:rPr>
              <w:t>2、</w:t>
            </w:r>
            <w:r>
              <w:rPr>
                <w:rFonts w:hint="eastAsia"/>
                <w:highlight w:val="none"/>
              </w:rPr>
              <w:t>超期款限额</w:t>
            </w:r>
            <w:r>
              <w:rPr>
                <w:rFonts w:hint="eastAsia"/>
                <w:highlight w:val="none"/>
                <w:lang w:eastAsia="zh-CN"/>
              </w:rPr>
              <w:t>、</w:t>
            </w:r>
            <w:r>
              <w:rPr>
                <w:rFonts w:hint="eastAsia"/>
                <w:highlight w:val="none"/>
                <w:lang w:val="en-US" w:eastAsia="zh-CN"/>
              </w:rPr>
              <w:t>CPS 指标、CPI指标、KPI指标；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2、落实到销售人员上，每一位销售人员都要根据有效业绩签订。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highlight w:val="none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市场管理部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、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分销系统部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513" w:type="dxa"/>
            <w:vMerge w:val="continue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绩效考核如何执行？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部门人员</w:t>
            </w:r>
            <w:r>
              <w:rPr>
                <w:rFonts w:hint="eastAsia"/>
                <w:highlight w:val="none"/>
              </w:rPr>
              <w:t>负责量化的 KPI 的考核得分的计算，CPI 部分由</w:t>
            </w:r>
            <w:r>
              <w:rPr>
                <w:rFonts w:hint="eastAsia"/>
              </w:rPr>
              <w:t>总监打分</w:t>
            </w:r>
            <w:r>
              <w:rPr>
                <w:rFonts w:hint="eastAsia"/>
                <w:lang w:eastAsia="zh-CN"/>
              </w:rPr>
              <w:t>。销售人员的考核是季度的，年度只考核有效业绩达成。</w:t>
            </w:r>
            <w:r>
              <w:rPr>
                <w:rFonts w:hint="eastAsia"/>
                <w:lang w:val="en-US" w:eastAsia="zh-CN"/>
              </w:rPr>
              <w:t>提供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《绩效考核办法》、《季度考核人员评分表》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和考核邮件截图。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highlight w:val="none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市场管理部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、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分销系统部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513" w:type="dxa"/>
            <w:vMerge w:val="restart"/>
            <w:noWrap w:val="0"/>
            <w:vAlign w:val="center"/>
          </w:tcPr>
          <w:p>
            <w:pPr>
              <w:widowControl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顾客满意的分析和评价</w:t>
            </w:r>
          </w:p>
          <w:p>
            <w:pPr>
              <w:widowControl/>
              <w:jc w:val="both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9.1.2</w:t>
            </w:r>
          </w:p>
          <w:p>
            <w:pPr>
              <w:widowControl/>
              <w:jc w:val="both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9.1.3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顾客满意度</w:t>
            </w:r>
            <w:r>
              <w:rPr>
                <w:rFonts w:hint="eastAsia" w:ascii="宋体" w:hAnsi="宋体"/>
                <w:b/>
                <w:szCs w:val="21"/>
              </w:rPr>
              <w:t>：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</w:t>
            </w:r>
            <w:r>
              <w:rPr>
                <w:rFonts w:ascii="宋体" w:hAnsi="宋体"/>
                <w:szCs w:val="21"/>
              </w:rPr>
              <w:t>顾客满意度调查表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分析报告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反馈问题的处理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2、提供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项目合同中甲方公司的</w:t>
            </w:r>
            <w:r>
              <w:rPr>
                <w:rFonts w:ascii="宋体" w:hAnsi="宋体"/>
                <w:szCs w:val="21"/>
              </w:rPr>
              <w:t>满意度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调查</w:t>
            </w:r>
            <w:r>
              <w:rPr>
                <w:rFonts w:hint="eastAsia" w:ascii="宋体" w:hAnsi="宋体"/>
                <w:szCs w:val="21"/>
              </w:rPr>
              <w:t>资料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提供：《</w:t>
            </w:r>
            <w:r>
              <w:rPr>
                <w:rFonts w:ascii="宋体" w:hAnsi="宋体"/>
                <w:szCs w:val="21"/>
              </w:rPr>
              <w:t>顾客满意度调查表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》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《</w:t>
            </w:r>
            <w:r>
              <w:rPr>
                <w:rFonts w:ascii="宋体" w:hAnsi="宋体"/>
                <w:szCs w:val="21"/>
              </w:rPr>
              <w:t>满意度分析评价报告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》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《客户满意度调查问卷及综合得分数据》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highlight w:val="none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市场管理部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513" w:type="dxa"/>
            <w:vMerge w:val="continue"/>
            <w:noWrap w:val="0"/>
            <w:vAlign w:val="center"/>
          </w:tcPr>
          <w:p>
            <w:pPr>
              <w:widowControl/>
              <w:jc w:val="both"/>
              <w:rPr>
                <w:rFonts w:hint="eastAsia" w:ascii="宋体" w:hAnsi="宋体"/>
                <w:szCs w:val="21"/>
              </w:rPr>
            </w:pP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客户满意度</w:t>
            </w: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未达标</w:t>
            </w:r>
            <w:r>
              <w:rPr>
                <w:rFonts w:hint="eastAsia" w:ascii="宋体" w:hAnsi="宋体"/>
                <w:b/>
                <w:szCs w:val="21"/>
              </w:rPr>
              <w:t>：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出现客户满意度问卷得分未达标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解释原因：因为项目订单原因走法律程序打官司，故客户满意度不高。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highlight w:val="none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市场管理部、行政部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restart"/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12</w:t>
            </w:r>
          </w:p>
        </w:tc>
        <w:tc>
          <w:tcPr>
            <w:tcW w:w="1513" w:type="dxa"/>
            <w:noWrap w:val="0"/>
            <w:vAlign w:val="center"/>
          </w:tcPr>
          <w:p>
            <w:pPr>
              <w:jc w:val="both"/>
              <w:rPr>
                <w:rFonts w:hint="default" w:ascii="宋体" w:hAnsi="宋体" w:eastAsia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</w:rPr>
              <w:t>内审和管理评审过程</w:t>
            </w: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及策划改进活动</w:t>
            </w:r>
          </w:p>
          <w:p>
            <w:pPr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9.1.3</w:t>
            </w:r>
            <w:r>
              <w:rPr>
                <w:rFonts w:hint="eastAsia" w:ascii="宋体" w:hAnsi="宋体"/>
                <w:szCs w:val="21"/>
                <w:lang w:eastAsia="zh-CN"/>
              </w:rPr>
              <w:t>；</w:t>
            </w:r>
            <w:r>
              <w:rPr>
                <w:rFonts w:hint="eastAsia" w:ascii="宋体" w:hAnsi="宋体"/>
                <w:szCs w:val="21"/>
              </w:rPr>
              <w:t>9.2；9.3；10.3；</w:t>
            </w:r>
          </w:p>
        </w:tc>
        <w:tc>
          <w:tcPr>
            <w:tcW w:w="2334" w:type="dxa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内审/管理评审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1、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提供</w:t>
            </w:r>
            <w:r>
              <w:rPr>
                <w:rFonts w:ascii="宋体" w:hAnsi="宋体"/>
                <w:szCs w:val="21"/>
              </w:rPr>
              <w:t>内审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管评资料</w:t>
            </w:r>
            <w:r>
              <w:rPr>
                <w:rFonts w:hint="eastAsia" w:ascii="宋体" w:hAnsi="宋体"/>
                <w:szCs w:val="21"/>
              </w:rPr>
              <w:t>：</w:t>
            </w:r>
          </w:p>
          <w:p>
            <w:pPr>
              <w:jc w:val="both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计划</w:t>
            </w:r>
            <w:r>
              <w:rPr>
                <w:rFonts w:hint="eastAsia" w:ascii="宋体" w:hAnsi="宋体"/>
                <w:szCs w:val="21"/>
              </w:rPr>
              <w:t>、首末次会议</w:t>
            </w:r>
            <w:r>
              <w:rPr>
                <w:rFonts w:ascii="宋体" w:hAnsi="宋体"/>
                <w:szCs w:val="21"/>
              </w:rPr>
              <w:t>签到表</w:t>
            </w:r>
            <w:r>
              <w:rPr>
                <w:rFonts w:hint="eastAsia" w:ascii="宋体" w:hAnsi="宋体"/>
                <w:szCs w:val="21"/>
              </w:rPr>
              <w:t>、总结</w:t>
            </w:r>
            <w:r>
              <w:rPr>
                <w:rFonts w:ascii="宋体" w:hAnsi="宋体"/>
                <w:szCs w:val="21"/>
              </w:rPr>
              <w:t>报告</w:t>
            </w:r>
          </w:p>
          <w:p>
            <w:pPr>
              <w:jc w:val="both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2、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《质量目标考核管理办法》、《202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年度质量目标报告》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总办/管理者代表；行政部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513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体系策划及改进过程</w:t>
            </w:r>
          </w:p>
          <w:p>
            <w:pPr>
              <w:spacing w:line="380" w:lineRule="exact"/>
              <w:jc w:val="both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宋体" w:hAnsi="宋体"/>
                <w:szCs w:val="21"/>
              </w:rPr>
              <w:t>10.2</w:t>
            </w:r>
          </w:p>
        </w:tc>
        <w:tc>
          <w:tcPr>
            <w:tcW w:w="2334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Verdana"/>
                <w:b/>
                <w:szCs w:val="21"/>
                <w:shd w:val="clear" w:color="auto" w:fill="FFFFFF"/>
                <w:lang w:val="en-US" w:eastAsia="zh-CN"/>
              </w:rPr>
              <w:t>描述上年度不符合项描述：</w:t>
            </w:r>
            <w:r>
              <w:rPr>
                <w:rFonts w:hint="eastAsia" w:ascii="宋体" w:hAnsi="宋体"/>
                <w:szCs w:val="21"/>
              </w:rPr>
              <w:t>商务部采购组及时对新供应商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-奇安信的</w:t>
            </w:r>
            <w:r>
              <w:rPr>
                <w:rFonts w:hint="eastAsia" w:ascii="宋体" w:hAnsi="宋体"/>
                <w:szCs w:val="21"/>
              </w:rPr>
              <w:t>供货能力、技术支持能力、交货期限、商业信用度及售后服务能力进行系统审核和评估，填写《供应商评估表》</w:t>
            </w:r>
          </w:p>
        </w:tc>
        <w:tc>
          <w:tcPr>
            <w:tcW w:w="2932" w:type="dxa"/>
            <w:noWrap w:val="0"/>
            <w:vAlign w:val="center"/>
          </w:tcPr>
          <w:p>
            <w:pPr>
              <w:spacing w:line="380" w:lineRule="exact"/>
              <w:jc w:val="both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提供202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年ISO整改资料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：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补齐了供应商信息，并提供供应商评估记录，相应更新了《采购管理规定》文件。</w:t>
            </w:r>
          </w:p>
        </w:tc>
        <w:tc>
          <w:tcPr>
            <w:tcW w:w="1726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szCs w:val="21"/>
                <w:shd w:val="clear" w:color="auto" w:fill="FFFFFF"/>
              </w:rPr>
              <w:t>行政部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eastAsia="zh-CN"/>
              </w:rPr>
              <w:t>、</w:t>
            </w:r>
            <w:r>
              <w:rPr>
                <w:rFonts w:hint="eastAsia" w:ascii="宋体" w:hAnsi="宋体" w:cs="Verdana"/>
                <w:szCs w:val="21"/>
                <w:shd w:val="clear" w:color="auto" w:fill="FFFFFF"/>
                <w:lang w:val="en-US" w:eastAsia="zh-CN"/>
              </w:rPr>
              <w:t>商务部</w:t>
            </w:r>
          </w:p>
        </w:tc>
      </w:tr>
    </w:tbl>
    <w:p>
      <w:pPr>
        <w:spacing w:line="380" w:lineRule="exact"/>
        <w:jc w:val="left"/>
        <w:rPr>
          <w:rFonts w:hint="eastAsia" w:ascii="Verdana" w:hAnsi="Verdana" w:cs="Verdana"/>
          <w:color w:val="000000"/>
          <w:szCs w:val="21"/>
          <w:shd w:val="clear" w:color="auto" w:fill="FFFFFF"/>
        </w:rPr>
      </w:pPr>
    </w:p>
    <w:p>
      <w:pPr>
        <w:spacing w:line="380" w:lineRule="exact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二、不符合项情况：</w:t>
      </w:r>
    </w:p>
    <w:p>
      <w:pPr>
        <w:spacing w:line="380" w:lineRule="exact"/>
        <w:jc w:val="left"/>
        <w:rPr>
          <w:rFonts w:hint="eastAsia" w:ascii="宋体" w:hAnsi="宋体" w:cs="Verdana"/>
          <w:color w:val="000000"/>
          <w:szCs w:val="21"/>
          <w:shd w:val="clear" w:color="auto" w:fill="FFFFFF"/>
        </w:rPr>
      </w:pPr>
      <w:r>
        <w:rPr>
          <w:rFonts w:hint="eastAsia" w:ascii="Verdana" w:hAnsi="Verdana" w:cs="Verdana"/>
          <w:color w:val="000000"/>
          <w:szCs w:val="21"/>
          <w:shd w:val="clear" w:color="auto" w:fill="FFFFFF"/>
        </w:rPr>
        <w:t>其</w:t>
      </w:r>
      <w:r>
        <w:rPr>
          <w:rFonts w:hint="eastAsia" w:ascii="宋体" w:hAnsi="宋体" w:cs="Verdana"/>
          <w:color w:val="000000"/>
          <w:szCs w:val="21"/>
          <w:shd w:val="clear" w:color="auto" w:fill="FFFFFF"/>
        </w:rPr>
        <w:t>中齐普生股份公司发现了1个“一般不符合项”具体如下：</w:t>
      </w:r>
    </w:p>
    <w:tbl>
      <w:tblPr>
        <w:tblStyle w:val="7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3686"/>
        <w:gridCol w:w="850"/>
        <w:gridCol w:w="1134"/>
        <w:gridCol w:w="25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8DB3E2"/>
            <w:noWrap w:val="0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Verdana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Verdana"/>
                <w:b/>
                <w:bCs/>
                <w:color w:val="000000"/>
                <w:szCs w:val="21"/>
              </w:rPr>
              <w:t>公司</w:t>
            </w:r>
          </w:p>
        </w:tc>
        <w:tc>
          <w:tcPr>
            <w:tcW w:w="3686" w:type="dxa"/>
            <w:shd w:val="clear" w:color="auto" w:fill="8DB3E2"/>
            <w:noWrap w:val="0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Verdana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Verdana"/>
                <w:b/>
                <w:bCs/>
                <w:color w:val="000000"/>
                <w:szCs w:val="21"/>
              </w:rPr>
              <w:t>不符合项描述</w:t>
            </w:r>
          </w:p>
        </w:tc>
        <w:tc>
          <w:tcPr>
            <w:tcW w:w="850" w:type="dxa"/>
            <w:shd w:val="clear" w:color="auto" w:fill="8DB3E2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cs="Verdana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Verdana"/>
                <w:b/>
                <w:bCs/>
                <w:color w:val="000000"/>
                <w:szCs w:val="21"/>
              </w:rPr>
              <w:t>责任</w:t>
            </w:r>
          </w:p>
          <w:p>
            <w:pPr>
              <w:spacing w:line="380" w:lineRule="exact"/>
              <w:jc w:val="center"/>
              <w:rPr>
                <w:rFonts w:ascii="宋体" w:hAnsi="宋体" w:cs="Verdana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Verdana"/>
                <w:b/>
                <w:bCs/>
                <w:color w:val="000000"/>
                <w:szCs w:val="21"/>
              </w:rPr>
              <w:t>部门</w:t>
            </w:r>
          </w:p>
        </w:tc>
        <w:tc>
          <w:tcPr>
            <w:tcW w:w="1134" w:type="dxa"/>
            <w:shd w:val="clear" w:color="auto" w:fill="8DB3E2"/>
            <w:noWrap w:val="0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Verdana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Verdana"/>
                <w:b/>
                <w:bCs/>
                <w:color w:val="000000"/>
                <w:szCs w:val="21"/>
              </w:rPr>
              <w:t>严重程度</w:t>
            </w:r>
          </w:p>
        </w:tc>
        <w:tc>
          <w:tcPr>
            <w:tcW w:w="2552" w:type="dxa"/>
            <w:shd w:val="clear" w:color="auto" w:fill="8DB3E2"/>
            <w:noWrap w:val="0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Verdana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Verdana"/>
                <w:b/>
                <w:bCs/>
                <w:color w:val="FF0000"/>
                <w:szCs w:val="21"/>
              </w:rPr>
              <w:t>整改结果记录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1242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Verdana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</w:rPr>
              <w:t>深圳市齐普生科技股份有限公司</w:t>
            </w:r>
          </w:p>
        </w:tc>
        <w:tc>
          <w:tcPr>
            <w:tcW w:w="3686" w:type="dxa"/>
            <w:noWrap w:val="0"/>
            <w:vAlign w:val="center"/>
          </w:tcPr>
          <w:p>
            <w:pPr>
              <w:tabs>
                <w:tab w:val="left" w:pos="0"/>
              </w:tabs>
              <w:jc w:val="both"/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  <w:lang w:val="en-US" w:eastAsia="zh-CN"/>
              </w:rPr>
              <w:t>公司内部审核过程存在不足：</w:t>
            </w:r>
          </w:p>
          <w:p>
            <w:pPr>
              <w:numPr>
                <w:ilvl w:val="0"/>
                <w:numId w:val="2"/>
              </w:numPr>
              <w:tabs>
                <w:tab w:val="left" w:pos="0"/>
              </w:tabs>
              <w:jc w:val="both"/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  <w:lang w:val="en-US" w:eastAsia="zh-CN"/>
              </w:rPr>
              <w:t>查内审检查表：抽研发部内审检查记录，对条款8.3的审核，未对8.3.1-8.3.6展开进行记录描述，未充分记录审核项目的具体信息，不具备可追溯性；</w:t>
            </w:r>
          </w:p>
          <w:p>
            <w:pPr>
              <w:numPr>
                <w:ilvl w:val="0"/>
                <w:numId w:val="0"/>
              </w:numPr>
              <w:tabs>
                <w:tab w:val="left" w:pos="0"/>
              </w:tabs>
              <w:jc w:val="both"/>
              <w:rPr>
                <w:rFonts w:hint="default" w:ascii="宋体" w:hAnsi="宋体" w:cs="Verdana"/>
                <w:color w:val="00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  <w:lang w:val="en-US" w:eastAsia="zh-CN"/>
              </w:rPr>
              <w:t>2、查程序文件《内部审核控制程序》，未对内审检查表的描述具体描述；</w:t>
            </w:r>
          </w:p>
          <w:p>
            <w:pPr>
              <w:tabs>
                <w:tab w:val="left" w:pos="0"/>
              </w:tabs>
              <w:jc w:val="both"/>
              <w:rPr>
                <w:rFonts w:hint="default" w:ascii="宋体" w:hAnsi="宋体" w:eastAsia="宋体" w:cs="Verdana"/>
                <w:color w:val="00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  <w:lang w:val="en-US" w:eastAsia="zh-CN"/>
              </w:rPr>
              <w:t>要求对研发部8.3记录重新整理，完善相关记录。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 w:eastAsia="宋体" w:cs="Verdana"/>
                <w:color w:val="000000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  <w:lang w:val="en-US" w:eastAsia="zh-CN"/>
              </w:rPr>
              <w:t>研发部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380" w:lineRule="exact"/>
              <w:jc w:val="center"/>
              <w:rPr>
                <w:rFonts w:ascii="宋体" w:hAnsi="宋体" w:cs="Verdana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</w:rPr>
              <w:t>一般</w:t>
            </w:r>
          </w:p>
        </w:tc>
        <w:tc>
          <w:tcPr>
            <w:tcW w:w="2552" w:type="dxa"/>
            <w:noWrap w:val="0"/>
            <w:vAlign w:val="center"/>
          </w:tcPr>
          <w:p>
            <w:pPr>
              <w:numPr>
                <w:ilvl w:val="0"/>
                <w:numId w:val="3"/>
              </w:numPr>
              <w:jc w:val="both"/>
              <w:rPr>
                <w:rFonts w:hint="eastAsia" w:ascii="宋体" w:hAnsi="宋体" w:cs="Verdana"/>
                <w:color w:val="FF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color w:val="FF0000"/>
                <w:szCs w:val="21"/>
                <w:shd w:val="clear" w:color="auto" w:fill="FFFFFF"/>
                <w:lang w:val="en-US" w:eastAsia="zh-CN"/>
              </w:rPr>
              <w:t>对研发部《内审检查表》重新进行8.3.1-8.3.6条款记录描述，完善相关记录；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cs="Verdana"/>
                <w:color w:val="FF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color w:val="FF0000"/>
                <w:szCs w:val="21"/>
                <w:shd w:val="clear" w:color="auto" w:fill="FFFFFF"/>
                <w:lang w:val="en-US" w:eastAsia="zh-CN"/>
              </w:rPr>
              <w:t>2、修改《程序文件》中《内部审核控制程序》，修改7.2.2条款，新增：《内审检查表》所记录的审核范围应涉及其部门核心工作内容；审核内容和证据应具体详实，如记录名称、日期、编号、具体信息等，保证审核证据的可追溯性。</w:t>
            </w:r>
          </w:p>
        </w:tc>
      </w:tr>
    </w:tbl>
    <w:p>
      <w:pPr>
        <w:spacing w:line="380" w:lineRule="exact"/>
        <w:jc w:val="left"/>
        <w:rPr>
          <w:rFonts w:hint="eastAsia" w:ascii="Verdana" w:hAnsi="Verdana" w:cs="Verdana"/>
          <w:color w:val="000000"/>
          <w:szCs w:val="21"/>
          <w:shd w:val="clear" w:color="auto" w:fill="FFFFFF"/>
        </w:rPr>
      </w:pPr>
    </w:p>
    <w:p>
      <w:pPr>
        <w:spacing w:line="360" w:lineRule="auto"/>
        <w:jc w:val="left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 w:cs="Verdana"/>
          <w:b/>
          <w:bCs/>
          <w:color w:val="000000"/>
          <w:szCs w:val="21"/>
          <w:shd w:val="clear" w:color="auto" w:fill="FFFFFF"/>
        </w:rPr>
        <w:t>三</w:t>
      </w:r>
      <w:r>
        <w:rPr>
          <w:rFonts w:hint="eastAsia" w:ascii="宋体" w:hAnsi="宋体"/>
          <w:b/>
          <w:bCs/>
          <w:szCs w:val="21"/>
        </w:rPr>
        <w:t>、沟通中提及问题点（但未书面开出不符合项）如下：</w:t>
      </w:r>
    </w:p>
    <w:p>
      <w:pPr>
        <w:spacing w:line="360" w:lineRule="auto"/>
        <w:jc w:val="left"/>
        <w:rPr>
          <w:rFonts w:hint="eastAsia" w:ascii="宋体" w:hAnsi="宋体" w:cs="Verdana"/>
          <w:color w:val="000000"/>
          <w:szCs w:val="21"/>
          <w:shd w:val="clear" w:color="auto" w:fill="FFFFFF"/>
        </w:rPr>
      </w:pPr>
      <w:r>
        <w:rPr>
          <w:rFonts w:hint="eastAsia" w:ascii="宋体" w:hAnsi="宋体" w:cs="Verdana"/>
          <w:color w:val="000000"/>
          <w:szCs w:val="21"/>
          <w:shd w:val="clear" w:color="auto" w:fill="FFFFFF"/>
        </w:rPr>
        <w:t>1、齐普生股份公司</w:t>
      </w:r>
      <w:r>
        <w:rPr>
          <w:rFonts w:hint="eastAsia" w:ascii="宋体" w:hAnsi="宋体" w:cs="Verdana"/>
          <w:color w:val="000000"/>
          <w:szCs w:val="21"/>
          <w:shd w:val="clear" w:color="auto" w:fill="FFFFFF"/>
          <w:lang w:val="en-US" w:eastAsia="zh-CN"/>
        </w:rPr>
        <w:t xml:space="preserve"> </w:t>
      </w:r>
      <w:r>
        <w:rPr>
          <w:rFonts w:hint="eastAsia" w:ascii="宋体" w:hAnsi="宋体" w:cs="Verdana"/>
          <w:color w:val="000000"/>
          <w:szCs w:val="21"/>
          <w:shd w:val="clear" w:color="auto" w:fill="FFFFFF"/>
        </w:rPr>
        <w:t>/</w:t>
      </w:r>
      <w:r>
        <w:rPr>
          <w:rFonts w:hint="eastAsia" w:ascii="宋体" w:hAnsi="宋体" w:cs="Verdana"/>
          <w:color w:val="000000"/>
          <w:szCs w:val="21"/>
          <w:shd w:val="clear" w:color="auto" w:fill="FFFFFF"/>
          <w:lang w:val="en-US" w:eastAsia="zh-CN"/>
        </w:rPr>
        <w:t xml:space="preserve"> </w:t>
      </w:r>
      <w:r>
        <w:rPr>
          <w:rFonts w:hint="eastAsia" w:ascii="宋体" w:hAnsi="宋体" w:cs="Verdana"/>
          <w:color w:val="000000"/>
          <w:szCs w:val="21"/>
          <w:shd w:val="clear" w:color="auto" w:fill="FFFFFF"/>
        </w:rPr>
        <w:t>齐普生数字公司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5234"/>
        <w:gridCol w:w="1751"/>
        <w:gridCol w:w="15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686" w:type="dxa"/>
            <w:shd w:val="clear" w:color="auto" w:fill="8DB3E2"/>
            <w:noWrap w:val="0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Verdana"/>
                <w:b/>
                <w:bCs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b/>
                <w:bCs/>
                <w:szCs w:val="21"/>
              </w:rPr>
              <w:t>数列</w:t>
            </w:r>
          </w:p>
        </w:tc>
        <w:tc>
          <w:tcPr>
            <w:tcW w:w="5234" w:type="dxa"/>
            <w:shd w:val="clear" w:color="auto" w:fill="8DB3E2"/>
            <w:noWrap w:val="0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Verdana"/>
                <w:b/>
                <w:bCs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b/>
                <w:bCs/>
                <w:szCs w:val="21"/>
              </w:rPr>
              <w:t>问题点</w:t>
            </w:r>
          </w:p>
        </w:tc>
        <w:tc>
          <w:tcPr>
            <w:tcW w:w="1751" w:type="dxa"/>
            <w:shd w:val="clear" w:color="auto" w:fill="8DB3E2"/>
            <w:noWrap w:val="0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Verdana"/>
                <w:b/>
                <w:bCs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b/>
                <w:bCs/>
                <w:szCs w:val="21"/>
              </w:rPr>
              <w:t>涉及部门/流程</w:t>
            </w:r>
          </w:p>
        </w:tc>
        <w:tc>
          <w:tcPr>
            <w:tcW w:w="1581" w:type="dxa"/>
            <w:shd w:val="clear" w:color="auto" w:fill="8DB3E2"/>
            <w:noWrap w:val="0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Verdana"/>
                <w:b/>
                <w:bCs/>
                <w:color w:val="FF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b/>
                <w:bCs/>
                <w:color w:val="FF0000"/>
                <w:szCs w:val="21"/>
              </w:rPr>
              <w:t>整改结果记录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Verdana"/>
                <w:b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b/>
                <w:color w:val="000000"/>
                <w:szCs w:val="21"/>
                <w:shd w:val="clear" w:color="auto" w:fill="FFFFFF"/>
              </w:rPr>
              <w:t>1</w:t>
            </w:r>
          </w:p>
        </w:tc>
        <w:tc>
          <w:tcPr>
            <w:tcW w:w="5234" w:type="dxa"/>
            <w:noWrap w:val="0"/>
            <w:vAlign w:val="center"/>
          </w:tcPr>
          <w:p>
            <w:pPr>
              <w:spacing w:line="360" w:lineRule="auto"/>
              <w:jc w:val="both"/>
              <w:rPr>
                <w:rFonts w:hint="default" w:ascii="宋体" w:hAnsi="宋体" w:eastAsia="宋体" w:cs="Verdana"/>
                <w:color w:val="00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《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质量手册</w:t>
            </w:r>
            <w:r>
              <w:rPr>
                <w:rFonts w:hint="eastAsia" w:ascii="宋体" w:hAnsi="宋体"/>
                <w:szCs w:val="21"/>
                <w:lang w:eastAsia="zh-CN"/>
              </w:rPr>
              <w:t>》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中的组织架构描述分销系统部与电商系统部分属不同部门，但却没有电商系统部的职责描述和职能分配表。</w:t>
            </w:r>
          </w:p>
        </w:tc>
        <w:tc>
          <w:tcPr>
            <w:tcW w:w="175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Verdana"/>
                <w:color w:val="00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  <w:lang w:val="en-US" w:eastAsia="zh-CN"/>
              </w:rPr>
              <w:t>电商系统部</w:t>
            </w:r>
          </w:p>
        </w:tc>
        <w:tc>
          <w:tcPr>
            <w:tcW w:w="158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Verdana"/>
                <w:color w:val="FF0000"/>
                <w:szCs w:val="21"/>
                <w:shd w:val="clear" w:color="auto" w:fill="FFFFFF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待</w:t>
            </w:r>
            <w:r>
              <w:rPr>
                <w:rFonts w:hint="eastAsia" w:ascii="宋体" w:hAnsi="宋体"/>
                <w:szCs w:val="21"/>
              </w:rPr>
              <w:t>更新修改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Verdana"/>
                <w:b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b/>
                <w:color w:val="000000"/>
                <w:szCs w:val="21"/>
                <w:shd w:val="clear" w:color="auto" w:fill="FFFFFF"/>
              </w:rPr>
              <w:t>2</w:t>
            </w:r>
          </w:p>
        </w:tc>
        <w:tc>
          <w:tcPr>
            <w:tcW w:w="5234" w:type="dxa"/>
            <w:noWrap w:val="0"/>
            <w:vAlign w:val="center"/>
          </w:tcPr>
          <w:p>
            <w:pPr>
              <w:spacing w:line="360" w:lineRule="auto"/>
              <w:jc w:val="both"/>
              <w:rPr>
                <w:rFonts w:hint="default" w:ascii="宋体" w:hAnsi="宋体" w:eastAsia="宋体" w:cs="Verdana"/>
                <w:color w:val="00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  <w:lang w:val="en-US" w:eastAsia="zh-CN"/>
              </w:rPr>
              <w:t>销售过程中，应明确规定售前、售中及售后的流程及服务记录。</w:t>
            </w:r>
          </w:p>
        </w:tc>
        <w:tc>
          <w:tcPr>
            <w:tcW w:w="175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Verdana"/>
                <w:color w:val="00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  <w:lang w:val="en-US" w:eastAsia="zh-CN"/>
              </w:rPr>
              <w:t>商务部、研发部、技术服务中心</w:t>
            </w:r>
          </w:p>
        </w:tc>
        <w:tc>
          <w:tcPr>
            <w:tcW w:w="158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Verdana"/>
                <w:color w:val="FF0000"/>
                <w:szCs w:val="21"/>
                <w:shd w:val="clear" w:color="auto" w:fill="FFFFFF"/>
              </w:rPr>
            </w:pPr>
            <w:r>
              <w:rPr>
                <w:rFonts w:hint="eastAsia" w:ascii="宋体" w:hAnsi="宋体"/>
                <w:szCs w:val="21"/>
              </w:rPr>
              <w:t>已更新修改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Verdana"/>
                <w:b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cs="Verdana"/>
                <w:b/>
                <w:color w:val="000000"/>
                <w:szCs w:val="21"/>
                <w:shd w:val="clear" w:color="auto" w:fill="FFFFFF"/>
              </w:rPr>
              <w:t>3</w:t>
            </w:r>
          </w:p>
        </w:tc>
        <w:tc>
          <w:tcPr>
            <w:tcW w:w="5234" w:type="dxa"/>
            <w:noWrap w:val="0"/>
            <w:vAlign w:val="center"/>
          </w:tcPr>
          <w:p>
            <w:pPr>
              <w:spacing w:line="360" w:lineRule="auto"/>
              <w:jc w:val="both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内审审核各部门的条款不具备可追溯性，内容不详尽，未涉及核心工作内容，未规范流程。</w:t>
            </w:r>
          </w:p>
        </w:tc>
        <w:tc>
          <w:tcPr>
            <w:tcW w:w="175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Verdana"/>
                <w:color w:val="00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Verdana"/>
                <w:color w:val="000000"/>
                <w:szCs w:val="21"/>
                <w:shd w:val="clear" w:color="auto" w:fill="FFFFFF"/>
                <w:lang w:val="en-US" w:eastAsia="zh-CN"/>
              </w:rPr>
              <w:t>商务部、研发部、分销系统部、技术服务中心</w:t>
            </w:r>
          </w:p>
        </w:tc>
        <w:tc>
          <w:tcPr>
            <w:tcW w:w="1581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已更新修改</w:t>
            </w:r>
          </w:p>
        </w:tc>
      </w:tr>
    </w:tbl>
    <w:p>
      <w:pPr>
        <w:spacing w:line="380" w:lineRule="exact"/>
        <w:jc w:val="left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四、公司体系现状和存在问题</w:t>
      </w:r>
    </w:p>
    <w:p>
      <w:pPr>
        <w:spacing w:line="360" w:lineRule="auto"/>
        <w:jc w:val="left"/>
        <w:rPr>
          <w:rFonts w:ascii="宋体" w:hAnsi="宋体" w:cs="Verdana"/>
          <w:szCs w:val="21"/>
          <w:shd w:val="clear" w:color="auto" w:fill="FFFFFF"/>
        </w:rPr>
      </w:pPr>
      <w:r>
        <w:rPr>
          <w:rFonts w:hint="eastAsia" w:ascii="宋体" w:hAnsi="宋体" w:cs="Verdana"/>
          <w:szCs w:val="21"/>
          <w:shd w:val="clear" w:color="auto" w:fill="FFFFFF"/>
        </w:rPr>
        <w:t>1、个别部门对质量管理体系、程序文件、作为文件学习不够</w:t>
      </w: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深入透彻，在工作流程中没有按照流程形成相应的工作文件，导致外审期间不断地增补资料</w:t>
      </w:r>
      <w:r>
        <w:rPr>
          <w:rFonts w:hint="eastAsia" w:ascii="宋体" w:hAnsi="宋体" w:cs="Verdana"/>
          <w:szCs w:val="21"/>
          <w:shd w:val="clear" w:color="auto" w:fill="FFFFFF"/>
        </w:rPr>
        <w:t>。</w:t>
      </w:r>
    </w:p>
    <w:p>
      <w:pPr>
        <w:spacing w:line="360" w:lineRule="auto"/>
        <w:jc w:val="left"/>
        <w:rPr>
          <w:rFonts w:hint="eastAsia" w:ascii="宋体" w:hAnsi="宋体" w:cs="Verdana"/>
          <w:szCs w:val="21"/>
          <w:shd w:val="clear" w:color="auto" w:fill="FFFFFF"/>
        </w:rPr>
      </w:pPr>
      <w:r>
        <w:rPr>
          <w:rFonts w:hint="eastAsia" w:ascii="宋体" w:hAnsi="宋体" w:cs="Verdana"/>
          <w:szCs w:val="21"/>
          <w:shd w:val="clear" w:color="auto" w:fill="FFFFFF"/>
        </w:rPr>
        <w:t>2、因审核老师在审核关注度和范围上有一定的局限性，有些部门未进行重点审核</w:t>
      </w:r>
      <w:r>
        <w:rPr>
          <w:rFonts w:hint="eastAsia" w:ascii="宋体" w:hAnsi="宋体" w:cs="Verdana"/>
          <w:szCs w:val="21"/>
          <w:shd w:val="clear" w:color="auto" w:fill="FFFFFF"/>
          <w:lang w:eastAsia="zh-CN"/>
        </w:rPr>
        <w:t>，</w:t>
      </w:r>
      <w:r>
        <w:rPr>
          <w:rFonts w:hint="eastAsia" w:ascii="宋体" w:hAnsi="宋体" w:cs="Verdana"/>
          <w:szCs w:val="21"/>
          <w:shd w:val="clear" w:color="auto" w:fill="FFFFFF"/>
        </w:rPr>
        <w:t>如迪普事业部、信用管理部，但不代表未重点审核就可以忽略不计、不重视，应该在日常管理工作中，形成标准和规范；</w:t>
      </w:r>
    </w:p>
    <w:p>
      <w:pPr>
        <w:spacing w:line="360" w:lineRule="auto"/>
        <w:jc w:val="left"/>
        <w:rPr>
          <w:rFonts w:ascii="宋体" w:hAnsi="宋体" w:cs="Verdana"/>
          <w:szCs w:val="21"/>
          <w:shd w:val="clear" w:color="auto" w:fill="FFFFFF"/>
        </w:rPr>
      </w:pP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3</w:t>
      </w:r>
      <w:r>
        <w:rPr>
          <w:rFonts w:hint="eastAsia" w:ascii="宋体" w:hAnsi="宋体" w:cs="Verdana"/>
          <w:szCs w:val="21"/>
          <w:shd w:val="clear" w:color="auto" w:fill="FFFFFF"/>
        </w:rPr>
        <w:t>、公司内审工作与外审机构老师的审查范围、审核着重点、审核方式有一定的偏差，内审工作还不够</w:t>
      </w: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深入核心工作内容</w:t>
      </w:r>
      <w:r>
        <w:rPr>
          <w:rFonts w:hint="eastAsia" w:ascii="宋体" w:hAnsi="宋体" w:cs="Verdana"/>
          <w:szCs w:val="21"/>
          <w:shd w:val="clear" w:color="auto" w:fill="FFFFFF"/>
        </w:rPr>
        <w:t>，抽查</w:t>
      </w: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停留在表面</w:t>
      </w:r>
      <w:r>
        <w:rPr>
          <w:rFonts w:hint="eastAsia" w:ascii="宋体" w:hAnsi="宋体" w:cs="Verdana"/>
          <w:szCs w:val="21"/>
          <w:shd w:val="clear" w:color="auto" w:fill="FFFFFF"/>
        </w:rPr>
        <w:t>，行政部会加强内审员的培训学习</w:t>
      </w:r>
      <w:r>
        <w:rPr>
          <w:rFonts w:hint="eastAsia" w:ascii="宋体" w:hAnsi="宋体" w:cs="Verdana"/>
          <w:szCs w:val="21"/>
          <w:shd w:val="clear" w:color="auto" w:fill="FFFFFF"/>
          <w:lang w:eastAsia="zh-CN"/>
        </w:rPr>
        <w:t>，</w:t>
      </w: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按照质量手册标准严格执行审核流程及内容，形成完善的内审文件</w:t>
      </w:r>
      <w:r>
        <w:rPr>
          <w:rFonts w:hint="eastAsia" w:ascii="宋体" w:hAnsi="宋体" w:cs="Verdana"/>
          <w:szCs w:val="21"/>
          <w:shd w:val="clear" w:color="auto" w:fill="FFFFFF"/>
        </w:rPr>
        <w:t>；</w:t>
      </w:r>
    </w:p>
    <w:p>
      <w:pPr>
        <w:spacing w:line="380" w:lineRule="exact"/>
        <w:jc w:val="left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五、建议改善</w:t>
      </w:r>
    </w:p>
    <w:p>
      <w:pPr>
        <w:spacing w:line="360" w:lineRule="auto"/>
        <w:jc w:val="left"/>
        <w:rPr>
          <w:rFonts w:hint="eastAsia" w:ascii="宋体" w:hAnsi="宋体" w:cs="Verdana"/>
          <w:szCs w:val="21"/>
          <w:shd w:val="clear" w:color="auto" w:fill="FFFFFF"/>
        </w:rPr>
      </w:pPr>
      <w:r>
        <w:rPr>
          <w:rFonts w:hint="eastAsia" w:ascii="宋体" w:hAnsi="宋体" w:cs="Verdana"/>
          <w:szCs w:val="21"/>
          <w:shd w:val="clear" w:color="auto" w:fill="FFFFFF"/>
        </w:rPr>
        <w:t>1、</w:t>
      </w: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各部门加强学习熟悉ISO程序文件，将标准化流程融入到</w:t>
      </w:r>
      <w:r>
        <w:rPr>
          <w:rFonts w:hint="eastAsia" w:ascii="宋体" w:hAnsi="宋体" w:cs="Verdana"/>
          <w:szCs w:val="21"/>
          <w:shd w:val="clear" w:color="auto" w:fill="FFFFFF"/>
        </w:rPr>
        <w:t>日常</w:t>
      </w: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管理</w:t>
      </w:r>
      <w:r>
        <w:rPr>
          <w:rFonts w:hint="eastAsia" w:ascii="宋体" w:hAnsi="宋体" w:cs="Verdana"/>
          <w:szCs w:val="21"/>
          <w:shd w:val="clear" w:color="auto" w:fill="FFFFFF"/>
        </w:rPr>
        <w:t>工作中，</w:t>
      </w: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严格把控工作流程及时间节点，并形成相应的工作文件，整理归类，</w:t>
      </w:r>
      <w:r>
        <w:rPr>
          <w:rFonts w:hint="eastAsia" w:ascii="宋体" w:hAnsi="宋体" w:cs="Verdana"/>
          <w:szCs w:val="21"/>
          <w:shd w:val="clear" w:color="auto" w:fill="FFFFFF"/>
        </w:rPr>
        <w:t>对文件中未明确规定的内容或运作流程进行确定，程序中与运行不符合的应及时反馈处理</w:t>
      </w:r>
      <w:r>
        <w:rPr>
          <w:rFonts w:hint="eastAsia" w:ascii="宋体" w:hAnsi="宋体" w:cs="Verdana"/>
          <w:szCs w:val="21"/>
          <w:shd w:val="clear" w:color="auto" w:fill="FFFFFF"/>
          <w:lang w:eastAsia="zh-CN"/>
        </w:rPr>
        <w:t>，</w:t>
      </w:r>
      <w:r>
        <w:rPr>
          <w:rFonts w:hint="eastAsia" w:ascii="宋体" w:hAnsi="宋体" w:cs="Verdana"/>
          <w:szCs w:val="21"/>
          <w:shd w:val="clear" w:color="auto" w:fill="FFFFFF"/>
        </w:rPr>
        <w:t>可提高工作效率、降低出错</w:t>
      </w:r>
      <w:r>
        <w:rPr>
          <w:rFonts w:hint="eastAsia" w:ascii="宋体" w:hAnsi="宋体" w:cs="Verdana"/>
          <w:szCs w:val="21"/>
          <w:shd w:val="clear" w:color="auto" w:fill="FFFFFF"/>
          <w:lang w:eastAsia="zh-CN"/>
        </w:rPr>
        <w:t>概率</w:t>
      </w:r>
      <w:r>
        <w:rPr>
          <w:rFonts w:hint="eastAsia" w:ascii="宋体" w:hAnsi="宋体" w:cs="Verdana"/>
          <w:szCs w:val="21"/>
          <w:shd w:val="clear" w:color="auto" w:fill="FFFFFF"/>
        </w:rPr>
        <w:t>；</w:t>
      </w:r>
    </w:p>
    <w:p>
      <w:pPr>
        <w:spacing w:line="360" w:lineRule="auto"/>
        <w:jc w:val="left"/>
        <w:rPr>
          <w:rFonts w:hint="eastAsia" w:ascii="宋体" w:hAnsi="宋体" w:cs="Verdana"/>
          <w:szCs w:val="21"/>
          <w:shd w:val="clear" w:color="auto" w:fill="FFFFFF"/>
          <w:lang w:eastAsia="zh-CN"/>
        </w:rPr>
      </w:pP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2、完善此次内审未重点审核部门的相关流程及工作文件，使企业各部门之间的工作衔接和交流更顺畅，为</w:t>
      </w:r>
      <w:r>
        <w:rPr>
          <w:rFonts w:hint="eastAsia" w:ascii="宋体" w:hAnsi="宋体" w:cs="Verdana"/>
          <w:szCs w:val="21"/>
          <w:shd w:val="clear" w:color="auto" w:fill="FFFFFF"/>
        </w:rPr>
        <w:t>企业永续经营奠定基础</w:t>
      </w:r>
      <w:r>
        <w:rPr>
          <w:rFonts w:hint="eastAsia" w:ascii="宋体" w:hAnsi="宋体" w:cs="Verdana"/>
          <w:szCs w:val="21"/>
          <w:shd w:val="clear" w:color="auto" w:fill="FFFFFF"/>
          <w:lang w:eastAsia="zh-CN"/>
        </w:rPr>
        <w:t>。</w:t>
      </w:r>
    </w:p>
    <w:p>
      <w:pPr>
        <w:spacing w:line="360" w:lineRule="auto"/>
        <w:jc w:val="left"/>
        <w:rPr>
          <w:rFonts w:hint="eastAsia" w:ascii="宋体" w:hAnsi="宋体" w:cs="Verdana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3、继续加强员工培训与意识提升，提高员工对质量管理重要性的认知，并激发员工积极参与质量改进的动力。</w:t>
      </w:r>
    </w:p>
    <w:p>
      <w:pPr>
        <w:spacing w:line="360" w:lineRule="auto"/>
        <w:jc w:val="left"/>
        <w:rPr>
          <w:rFonts w:hint="eastAsia" w:ascii="宋体" w:hAnsi="宋体" w:eastAsia="宋体" w:cs="Verdana"/>
          <w:szCs w:val="21"/>
          <w:shd w:val="clear" w:color="auto" w:fill="FFFFFF"/>
          <w:lang w:val="en-US" w:eastAsia="zh-CN"/>
        </w:rPr>
      </w:pPr>
    </w:p>
    <w:p>
      <w:pPr>
        <w:spacing w:line="380" w:lineRule="exact"/>
        <w:jc w:val="left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六、结束语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cs="Verdana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质量管理体系顺利换证，标志着公司</w:t>
      </w:r>
      <w:r>
        <w:rPr>
          <w:rFonts w:hint="eastAsia" w:ascii="宋体" w:hAnsi="宋体" w:cs="Verdana"/>
          <w:szCs w:val="21"/>
          <w:shd w:val="clear" w:color="auto" w:fill="FFFFFF"/>
        </w:rPr>
        <w:t>实现了内外部质量、环境、客户、信息化等方面的规范化</w:t>
      </w:r>
      <w:r>
        <w:rPr>
          <w:rFonts w:hint="eastAsia" w:ascii="宋体" w:hAnsi="宋体" w:cs="Verdana"/>
          <w:szCs w:val="21"/>
          <w:shd w:val="clear" w:color="auto" w:fill="FFFFFF"/>
          <w:lang w:eastAsia="zh-CN"/>
        </w:rPr>
        <w:t>，</w:t>
      </w:r>
      <w:r>
        <w:rPr>
          <w:rFonts w:hint="eastAsia" w:ascii="宋体" w:hAnsi="宋体" w:cs="Verdana"/>
          <w:szCs w:val="21"/>
          <w:shd w:val="clear" w:color="auto" w:fill="FFFFFF"/>
          <w:lang w:val="en-US" w:eastAsia="zh-CN"/>
        </w:rPr>
        <w:t>在此次外审中表现出了较高水平的符合度，并且在持续改进方面取得了显著成效。然而，在一些方面仍存在改进空间。未来公司将根据本次外审报告中提出的建议进行相应调整和优化，进一步提升质量管理体系水平。</w:t>
      </w:r>
    </w:p>
    <w:sectPr>
      <w:footerReference r:id="rId3" w:type="default"/>
      <w:pgSz w:w="11906" w:h="16838"/>
      <w:pgMar w:top="1440" w:right="1463" w:bottom="1440" w:left="1406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b/>
      </w:rPr>
      <w:fldChar w:fldCharType="begin"/>
    </w:r>
    <w:r>
      <w:rPr>
        <w:b/>
      </w:rPr>
      <w:instrText xml:space="preserve">PAGE  \* Arabic  \* MERGEFORMAT</w:instrText>
    </w:r>
    <w:r>
      <w:rPr>
        <w:b/>
      </w:rPr>
      <w:fldChar w:fldCharType="separate"/>
    </w:r>
    <w:r>
      <w:rPr>
        <w:b/>
        <w:lang w:val="zh-CN"/>
      </w:rPr>
      <w:t>1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 xml:space="preserve">NUMPAGES  \* Arabic  \* MERGEFORMAT</w:instrText>
    </w:r>
    <w:r>
      <w:rPr>
        <w:b/>
      </w:rPr>
      <w:fldChar w:fldCharType="separate"/>
    </w:r>
    <w:r>
      <w:rPr>
        <w:b/>
        <w:lang w:val="zh-CN"/>
      </w:rPr>
      <w:t>7</w:t>
    </w:r>
    <w:r>
      <w:rPr>
        <w:b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B8DF27"/>
    <w:multiLevelType w:val="singleLevel"/>
    <w:tmpl w:val="98B8DF2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CCDE46D"/>
    <w:multiLevelType w:val="singleLevel"/>
    <w:tmpl w:val="2CCDE46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F1E68B8"/>
    <w:multiLevelType w:val="singleLevel"/>
    <w:tmpl w:val="6F1E68B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zODZhODliYWZiZjIwNjRiNWZlM2JhMTE1MzgzYzQifQ=="/>
  </w:docVars>
  <w:rsids>
    <w:rsidRoot w:val="00EC36C7"/>
    <w:rsid w:val="00001F32"/>
    <w:rsid w:val="00011689"/>
    <w:rsid w:val="00015825"/>
    <w:rsid w:val="00016867"/>
    <w:rsid w:val="00023DE6"/>
    <w:rsid w:val="00030333"/>
    <w:rsid w:val="00033F59"/>
    <w:rsid w:val="0003701F"/>
    <w:rsid w:val="00080D7F"/>
    <w:rsid w:val="00083D4E"/>
    <w:rsid w:val="00091EA9"/>
    <w:rsid w:val="00092DE4"/>
    <w:rsid w:val="000D68D4"/>
    <w:rsid w:val="000E2A93"/>
    <w:rsid w:val="000F0F0F"/>
    <w:rsid w:val="000F2365"/>
    <w:rsid w:val="001038C9"/>
    <w:rsid w:val="00103BAB"/>
    <w:rsid w:val="0010488D"/>
    <w:rsid w:val="00115F84"/>
    <w:rsid w:val="00145E40"/>
    <w:rsid w:val="00156AB9"/>
    <w:rsid w:val="00171520"/>
    <w:rsid w:val="001859B5"/>
    <w:rsid w:val="00191E14"/>
    <w:rsid w:val="0019364F"/>
    <w:rsid w:val="0019578C"/>
    <w:rsid w:val="001A0EF5"/>
    <w:rsid w:val="001A4D26"/>
    <w:rsid w:val="001D3E07"/>
    <w:rsid w:val="002144AB"/>
    <w:rsid w:val="002321F4"/>
    <w:rsid w:val="002A7872"/>
    <w:rsid w:val="002B09C8"/>
    <w:rsid w:val="002B4D1B"/>
    <w:rsid w:val="002D7C31"/>
    <w:rsid w:val="002E7E66"/>
    <w:rsid w:val="002F79D9"/>
    <w:rsid w:val="00302BDF"/>
    <w:rsid w:val="003115BA"/>
    <w:rsid w:val="00326145"/>
    <w:rsid w:val="00343899"/>
    <w:rsid w:val="003662C1"/>
    <w:rsid w:val="003724CF"/>
    <w:rsid w:val="00397D02"/>
    <w:rsid w:val="003B2D0C"/>
    <w:rsid w:val="003E046A"/>
    <w:rsid w:val="003E6762"/>
    <w:rsid w:val="004008AC"/>
    <w:rsid w:val="00416D7C"/>
    <w:rsid w:val="00422887"/>
    <w:rsid w:val="00424DB3"/>
    <w:rsid w:val="004306F1"/>
    <w:rsid w:val="00432B6C"/>
    <w:rsid w:val="00436C60"/>
    <w:rsid w:val="0044258A"/>
    <w:rsid w:val="00491679"/>
    <w:rsid w:val="00494200"/>
    <w:rsid w:val="00496B36"/>
    <w:rsid w:val="004D4A85"/>
    <w:rsid w:val="004F6BC8"/>
    <w:rsid w:val="0050002B"/>
    <w:rsid w:val="00503952"/>
    <w:rsid w:val="00546B60"/>
    <w:rsid w:val="00585039"/>
    <w:rsid w:val="00596395"/>
    <w:rsid w:val="005A6C11"/>
    <w:rsid w:val="005B3DC0"/>
    <w:rsid w:val="005C406F"/>
    <w:rsid w:val="005C4F5E"/>
    <w:rsid w:val="005C59ED"/>
    <w:rsid w:val="005C77F6"/>
    <w:rsid w:val="005D5B27"/>
    <w:rsid w:val="005E2402"/>
    <w:rsid w:val="005F4927"/>
    <w:rsid w:val="006368BD"/>
    <w:rsid w:val="0064246D"/>
    <w:rsid w:val="006469B3"/>
    <w:rsid w:val="00653399"/>
    <w:rsid w:val="00696E24"/>
    <w:rsid w:val="006A52FD"/>
    <w:rsid w:val="0071677C"/>
    <w:rsid w:val="00726DEE"/>
    <w:rsid w:val="00730D0A"/>
    <w:rsid w:val="007365B8"/>
    <w:rsid w:val="00750E2A"/>
    <w:rsid w:val="007540C8"/>
    <w:rsid w:val="007B308B"/>
    <w:rsid w:val="007B61F0"/>
    <w:rsid w:val="007C0C60"/>
    <w:rsid w:val="008029F3"/>
    <w:rsid w:val="00806235"/>
    <w:rsid w:val="00813808"/>
    <w:rsid w:val="0082311E"/>
    <w:rsid w:val="008274DB"/>
    <w:rsid w:val="0084697D"/>
    <w:rsid w:val="00862FD3"/>
    <w:rsid w:val="00870DA2"/>
    <w:rsid w:val="00871DF3"/>
    <w:rsid w:val="00873113"/>
    <w:rsid w:val="00891486"/>
    <w:rsid w:val="008A2C51"/>
    <w:rsid w:val="008A697B"/>
    <w:rsid w:val="008C15A8"/>
    <w:rsid w:val="008D16FD"/>
    <w:rsid w:val="008F0519"/>
    <w:rsid w:val="008F43CD"/>
    <w:rsid w:val="00914A88"/>
    <w:rsid w:val="00920E82"/>
    <w:rsid w:val="00926721"/>
    <w:rsid w:val="00954DAE"/>
    <w:rsid w:val="009A747A"/>
    <w:rsid w:val="009C78BC"/>
    <w:rsid w:val="009D2481"/>
    <w:rsid w:val="009E265E"/>
    <w:rsid w:val="009F15FD"/>
    <w:rsid w:val="00A008F8"/>
    <w:rsid w:val="00A220C4"/>
    <w:rsid w:val="00A24F6E"/>
    <w:rsid w:val="00A24FA0"/>
    <w:rsid w:val="00A26E9D"/>
    <w:rsid w:val="00A33B68"/>
    <w:rsid w:val="00A5427F"/>
    <w:rsid w:val="00A545BC"/>
    <w:rsid w:val="00A550C0"/>
    <w:rsid w:val="00A87653"/>
    <w:rsid w:val="00AA4E37"/>
    <w:rsid w:val="00AB0BC5"/>
    <w:rsid w:val="00AC26FD"/>
    <w:rsid w:val="00AD5CFB"/>
    <w:rsid w:val="00B01270"/>
    <w:rsid w:val="00B173CD"/>
    <w:rsid w:val="00B77094"/>
    <w:rsid w:val="00BA54FD"/>
    <w:rsid w:val="00C00109"/>
    <w:rsid w:val="00C109E6"/>
    <w:rsid w:val="00C30052"/>
    <w:rsid w:val="00C36C9A"/>
    <w:rsid w:val="00C50BFA"/>
    <w:rsid w:val="00C74106"/>
    <w:rsid w:val="00C904F0"/>
    <w:rsid w:val="00CA72C6"/>
    <w:rsid w:val="00CC5A4C"/>
    <w:rsid w:val="00CD3877"/>
    <w:rsid w:val="00CF1687"/>
    <w:rsid w:val="00CF33F8"/>
    <w:rsid w:val="00D06BB9"/>
    <w:rsid w:val="00D30B19"/>
    <w:rsid w:val="00D3215E"/>
    <w:rsid w:val="00D41767"/>
    <w:rsid w:val="00D82E62"/>
    <w:rsid w:val="00DA177E"/>
    <w:rsid w:val="00DC0B02"/>
    <w:rsid w:val="00DC65B8"/>
    <w:rsid w:val="00DC7479"/>
    <w:rsid w:val="00DD210C"/>
    <w:rsid w:val="00DD58C1"/>
    <w:rsid w:val="00E01FC2"/>
    <w:rsid w:val="00E055C6"/>
    <w:rsid w:val="00E1208A"/>
    <w:rsid w:val="00E365D5"/>
    <w:rsid w:val="00E41AFE"/>
    <w:rsid w:val="00E612E5"/>
    <w:rsid w:val="00E72440"/>
    <w:rsid w:val="00E941F1"/>
    <w:rsid w:val="00E95FD8"/>
    <w:rsid w:val="00EB5A42"/>
    <w:rsid w:val="00EB7031"/>
    <w:rsid w:val="00EB769C"/>
    <w:rsid w:val="00EC36C7"/>
    <w:rsid w:val="00EC5BB5"/>
    <w:rsid w:val="00ED082F"/>
    <w:rsid w:val="00ED2340"/>
    <w:rsid w:val="00EF2AB9"/>
    <w:rsid w:val="00F02F65"/>
    <w:rsid w:val="00F139FC"/>
    <w:rsid w:val="00F32EB1"/>
    <w:rsid w:val="00F356E7"/>
    <w:rsid w:val="00F54D25"/>
    <w:rsid w:val="00F553E3"/>
    <w:rsid w:val="00F95492"/>
    <w:rsid w:val="00FA1A7A"/>
    <w:rsid w:val="00FA258E"/>
    <w:rsid w:val="00FB4551"/>
    <w:rsid w:val="00FC23F2"/>
    <w:rsid w:val="00FC6DB0"/>
    <w:rsid w:val="00FC7C24"/>
    <w:rsid w:val="00FD095A"/>
    <w:rsid w:val="00FE5B7D"/>
    <w:rsid w:val="01256ECB"/>
    <w:rsid w:val="021855F8"/>
    <w:rsid w:val="070636B8"/>
    <w:rsid w:val="07C17D10"/>
    <w:rsid w:val="0A645A41"/>
    <w:rsid w:val="0C0E6055"/>
    <w:rsid w:val="0C2B281F"/>
    <w:rsid w:val="0D285A58"/>
    <w:rsid w:val="131403A6"/>
    <w:rsid w:val="15A624C2"/>
    <w:rsid w:val="15B64A89"/>
    <w:rsid w:val="167D53C8"/>
    <w:rsid w:val="188F208C"/>
    <w:rsid w:val="18B0756E"/>
    <w:rsid w:val="1A0878FE"/>
    <w:rsid w:val="1C213BA4"/>
    <w:rsid w:val="2087272C"/>
    <w:rsid w:val="21CF1C77"/>
    <w:rsid w:val="22A93F3B"/>
    <w:rsid w:val="22D713D6"/>
    <w:rsid w:val="24315599"/>
    <w:rsid w:val="26B85373"/>
    <w:rsid w:val="27C3419F"/>
    <w:rsid w:val="2EFF4096"/>
    <w:rsid w:val="2F911A4F"/>
    <w:rsid w:val="317C583F"/>
    <w:rsid w:val="31CF165B"/>
    <w:rsid w:val="33384D71"/>
    <w:rsid w:val="333B236F"/>
    <w:rsid w:val="334731A2"/>
    <w:rsid w:val="34753726"/>
    <w:rsid w:val="38172D0E"/>
    <w:rsid w:val="38A35CA7"/>
    <w:rsid w:val="3B035AE5"/>
    <w:rsid w:val="3D8C4A80"/>
    <w:rsid w:val="3E5A2777"/>
    <w:rsid w:val="3E6A1742"/>
    <w:rsid w:val="3EE90E79"/>
    <w:rsid w:val="401447E1"/>
    <w:rsid w:val="431B5DA8"/>
    <w:rsid w:val="45D15306"/>
    <w:rsid w:val="470F0194"/>
    <w:rsid w:val="4B7B02CD"/>
    <w:rsid w:val="4BF464BE"/>
    <w:rsid w:val="4C753959"/>
    <w:rsid w:val="4F1D1E71"/>
    <w:rsid w:val="4F264017"/>
    <w:rsid w:val="4F2F7C59"/>
    <w:rsid w:val="50631282"/>
    <w:rsid w:val="507E123A"/>
    <w:rsid w:val="53FB314D"/>
    <w:rsid w:val="54410DD9"/>
    <w:rsid w:val="571C281A"/>
    <w:rsid w:val="57E834A6"/>
    <w:rsid w:val="5B9D10A3"/>
    <w:rsid w:val="5C8C70ED"/>
    <w:rsid w:val="5CDA588A"/>
    <w:rsid w:val="5DA43BE4"/>
    <w:rsid w:val="5E2C2CCF"/>
    <w:rsid w:val="5E6D4B86"/>
    <w:rsid w:val="61A40989"/>
    <w:rsid w:val="61B041F1"/>
    <w:rsid w:val="63234F22"/>
    <w:rsid w:val="659C4DF8"/>
    <w:rsid w:val="65CE4A2E"/>
    <w:rsid w:val="67131CE1"/>
    <w:rsid w:val="6B1271E1"/>
    <w:rsid w:val="6B9A237F"/>
    <w:rsid w:val="6C78493F"/>
    <w:rsid w:val="6C8034D6"/>
    <w:rsid w:val="6DAD528E"/>
    <w:rsid w:val="6E0F012D"/>
    <w:rsid w:val="6E776FBA"/>
    <w:rsid w:val="6EA0055E"/>
    <w:rsid w:val="716A29ED"/>
    <w:rsid w:val="719F5E85"/>
    <w:rsid w:val="72B37C1D"/>
    <w:rsid w:val="74B748B9"/>
    <w:rsid w:val="7A0F2D32"/>
    <w:rsid w:val="7B5E78FB"/>
    <w:rsid w:val="7B752523"/>
    <w:rsid w:val="7E3544C6"/>
    <w:rsid w:val="7EE548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qFormat/>
    <w:uiPriority w:val="0"/>
    <w:pPr>
      <w:spacing w:line="460" w:lineRule="exact"/>
    </w:pPr>
    <w:rPr>
      <w:rFonts w:ascii="宋体" w:hAnsi="Times New Roman"/>
      <w:kern w:val="0"/>
      <w:sz w:val="28"/>
    </w:rPr>
  </w:style>
  <w:style w:type="paragraph" w:styleId="3">
    <w:name w:val="Date"/>
    <w:basedOn w:val="1"/>
    <w:next w:val="1"/>
    <w:link w:val="11"/>
    <w:qFormat/>
    <w:uiPriority w:val="0"/>
    <w:pPr>
      <w:ind w:left="100" w:leftChars="2500"/>
    </w:p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正文文本 Char"/>
    <w:link w:val="2"/>
    <w:qFormat/>
    <w:uiPriority w:val="0"/>
    <w:rPr>
      <w:rFonts w:ascii="宋体"/>
      <w:sz w:val="28"/>
      <w:szCs w:val="24"/>
    </w:rPr>
  </w:style>
  <w:style w:type="character" w:customStyle="1" w:styleId="11">
    <w:name w:val="日期 Char"/>
    <w:link w:val="3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12">
    <w:name w:val="页脚 Char"/>
    <w:link w:val="4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3">
    <w:name w:val="页眉 Char"/>
    <w:link w:val="5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4">
    <w:name w:val="apple-converted-space"/>
    <w:basedOn w:val="9"/>
    <w:qFormat/>
    <w:uiPriority w:val="0"/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封面文档标题"/>
    <w:basedOn w:val="1"/>
    <w:qFormat/>
    <w:uiPriority w:val="99"/>
    <w:pPr>
      <w:autoSpaceDE w:val="0"/>
      <w:autoSpaceDN w:val="0"/>
      <w:adjustRightInd w:val="0"/>
      <w:spacing w:before="480" w:after="360" w:line="360" w:lineRule="auto"/>
      <w:ind w:firstLine="200" w:firstLineChars="200"/>
      <w:jc w:val="center"/>
    </w:pPr>
    <w:rPr>
      <w:rFonts w:ascii="Arial" w:hAnsi="Arial" w:eastAsia="黑体"/>
      <w:bCs/>
      <w:kern w:val="0"/>
      <w:sz w:val="48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4526</Words>
  <Characters>4806</Characters>
  <Lines>40</Lines>
  <Paragraphs>11</Paragraphs>
  <TotalTime>1</TotalTime>
  <ScaleCrop>false</ScaleCrop>
  <LinksUpToDate>false</LinksUpToDate>
  <CharactersWithSpaces>4828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2021-06-25T11:06:00Z</dcterms:created>
  <dc:creator>asus</dc:creator>
  <cp:lastModifiedBy>Irene艾琳</cp:lastModifiedBy>
  <dcterms:modified xsi:type="dcterms:W3CDTF">2024-06-04T06:53:26Z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BFBB8EC38E8844988EF3D585D1C14FFA_13</vt:lpwstr>
  </property>
</Properties>
</file>