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打分标准</w:t>
      </w:r>
    </w:p>
    <w:p>
      <w:pPr>
        <w:jc w:val="center"/>
        <w:rPr>
          <w:rFonts w:hint="eastAsia"/>
          <w:b/>
          <w:bCs/>
          <w:sz w:val="24"/>
          <w:szCs w:val="24"/>
        </w:rPr>
      </w:pP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项目中每个细分小项得分如5分，10分，20分不等。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优秀为满分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良好为分值的80%-99%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一般为分值的60%-79%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及格为分值的50%-6</w:t>
      </w:r>
      <w:bookmarkStart w:id="0" w:name="_GoBack"/>
      <w:bookmarkEnd w:id="0"/>
      <w:r>
        <w:rPr>
          <w:rFonts w:hint="eastAsia"/>
          <w:b w:val="0"/>
          <w:bCs w:val="0"/>
          <w:sz w:val="24"/>
          <w:szCs w:val="24"/>
          <w:lang w:val="en-US" w:eastAsia="zh-CN"/>
        </w:rPr>
        <w:t>9%</w:t>
      </w:r>
    </w:p>
    <w:p>
      <w:pPr>
        <w:jc w:val="left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不及格为分值的50%以下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1F7314"/>
    <w:rsid w:val="1FD0509D"/>
    <w:rsid w:val="3CC0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Situ-Teach</dc:creator>
  <cp:lastModifiedBy>半神的赎罪</cp:lastModifiedBy>
  <dcterms:modified xsi:type="dcterms:W3CDTF">2018-05-09T08:08:21Z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