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8617" w:val="right"/>
        </w:tabs>
        <w:spacing w:after="0"/>
      </w:pPr>
      <w:r>
        <w:drawing>
          <wp:inline xmlns:a="http://schemas.openxmlformats.org/drawingml/2006/main" xmlns:pic="http://schemas.openxmlformats.org/drawingml/2006/picture">
            <wp:extent cx="792000" cy="370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ogo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70723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b w:val="0"/>
          <w:color w:val="64748B"/>
          <w:sz w:val="21"/>
        </w:rPr>
        <w:t>2026第八届全球校园人工智能算法精英大赛</w:t>
      </w:r>
    </w:p>
    <w:p/>
    <w:p/>
    <w:p>
      <w:pPr>
        <w:spacing w:after="120" w:line="336" w:lineRule="auto"/>
        <w:jc w:val="center"/>
      </w:pPr>
      <w:r>
        <w:rPr>
          <w:rFonts w:ascii="Times New Roman" w:hAnsi="Times New Roman" w:eastAsia="黑体"/>
          <w:b/>
          <w:sz w:val="44"/>
        </w:rPr>
        <w:t>2026第八届全球校园人工智能算法精英大赛</w:t>
      </w:r>
    </w:p>
    <w:p>
      <w:pPr>
        <w:spacing w:after="600" w:line="336" w:lineRule="auto"/>
        <w:jc w:val="center"/>
      </w:pPr>
      <w:r>
        <w:rPr>
          <w:rFonts w:ascii="Times New Roman" w:hAnsi="Times New Roman" w:eastAsia="黑体"/>
          <w:b/>
          <w:sz w:val="32"/>
        </w:rPr>
        <w:t>人工智能+场景建造创新大赛</w:t>
      </w:r>
    </w:p>
    <w:p/>
    <w:p>
      <w:pPr>
        <w:spacing w:after="840" w:line="336" w:lineRule="auto"/>
        <w:jc w:val="center"/>
      </w:pPr>
      <w:r>
        <w:rPr>
          <w:rFonts w:ascii="Times New Roman" w:hAnsi="Times New Roman" w:eastAsia="黑体"/>
          <w:b/>
          <w:sz w:val="64"/>
        </w:rPr>
        <w:t>技术报告</w:t>
      </w:r>
    </w:p>
    <w:p/>
    <w:p>
      <w:pPr>
        <w:spacing w:after="360" w:line="336" w:lineRule="auto"/>
        <w:jc w:val="left"/>
      </w:pPr>
      <w:r>
        <w:rPr>
          <w:rFonts w:ascii="Times New Roman" w:hAnsi="Times New Roman" w:eastAsia="宋体"/>
          <w:b w:val="0"/>
          <w:sz w:val="28"/>
        </w:rPr>
        <w:t>参赛编号：＿＿＿＿＿＿＿＿＿＿</w:t>
      </w:r>
    </w:p>
    <w:p>
      <w:pPr>
        <w:spacing w:after="360" w:line="336" w:lineRule="auto"/>
        <w:jc w:val="left"/>
      </w:pPr>
      <w:r>
        <w:rPr>
          <w:rFonts w:ascii="Times New Roman" w:hAnsi="Times New Roman" w:eastAsia="宋体"/>
          <w:b w:val="0"/>
          <w:sz w:val="28"/>
        </w:rPr>
        <w:t>作品名称：智安查——智慧工地安全问答与预警助手</w:t>
      </w:r>
    </w:p>
    <w:p>
      <w:pPr>
        <w:spacing w:after="80" w:line="336" w:lineRule="auto"/>
      </w:pPr>
      <w:r>
        <w:rPr>
          <w:rFonts w:ascii="Times New Roman" w:hAnsi="Times New Roman" w:eastAsia="宋体"/>
          <w:b w:val="0"/>
          <w:sz w:val="28"/>
        </w:rPr>
        <w:t>学科：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8"/>
        </w:rPr>
        <w:t>☑土木工程</w:t>
      </w:r>
      <w:r>
        <w:t xml:space="preserve">　　　</w:t>
      </w:r>
      <w:r>
        <w:rPr>
          <w:rFonts w:ascii="Times New Roman" w:hAnsi="Times New Roman" w:eastAsia="宋体"/>
          <w:b w:val="0"/>
          <w:sz w:val="28"/>
        </w:rPr>
        <w:t xml:space="preserve">　□建筑学</w:t>
      </w:r>
      <w:r>
        <w:t xml:space="preserve">　　　</w:t>
      </w:r>
      <w:r>
        <w:rPr>
          <w:rFonts w:ascii="Times New Roman" w:hAnsi="Times New Roman" w:eastAsia="宋体"/>
          <w:b w:val="0"/>
          <w:sz w:val="28"/>
        </w:rPr>
        <w:t xml:space="preserve">　□结构力学</w:t>
      </w:r>
      <w:r>
        <w:t xml:space="preserve">　　　</w:t>
      </w:r>
    </w:p>
    <w:p>
      <w:pPr>
        <w:spacing w:after="120"/>
      </w:pPr>
      <w:r>
        <w:rPr>
          <w:rFonts w:ascii="Times New Roman" w:hAnsi="Times New Roman" w:eastAsia="宋体"/>
          <w:b w:val="0"/>
          <w:sz w:val="28"/>
        </w:rPr>
        <w:t>☑计算机</w:t>
      </w:r>
      <w:r>
        <w:t xml:space="preserve">　　　</w:t>
      </w:r>
      <w:r>
        <w:rPr>
          <w:rFonts w:ascii="Times New Roman" w:hAnsi="Times New Roman" w:eastAsia="宋体"/>
          <w:b w:val="0"/>
          <w:sz w:val="28"/>
        </w:rPr>
        <w:t>□工程力学</w:t>
      </w:r>
      <w:r>
        <w:t xml:space="preserve">　　　</w:t>
      </w:r>
      <w:r>
        <w:rPr>
          <w:rFonts w:ascii="Times New Roman" w:hAnsi="Times New Roman" w:eastAsia="宋体"/>
          <w:b w:val="0"/>
          <w:sz w:val="28"/>
        </w:rPr>
        <w:t>□其他：＿＿＿＿＿＿</w:t>
      </w:r>
    </w:p>
    <w:p/>
    <w:p/>
    <w:p>
      <w:pPr>
        <w:spacing w:after="0" w:line="336" w:lineRule="auto"/>
        <w:jc w:val="left"/>
      </w:pPr>
      <w:r>
        <w:rPr>
          <w:rFonts w:ascii="Times New Roman" w:hAnsi="Times New Roman" w:eastAsia="宋体"/>
          <w:b w:val="0"/>
          <w:sz w:val="28"/>
        </w:rPr>
        <w:t>日期：2026年9月18日</w:t>
      </w:r>
    </w:p>
    <w:p>
      <w:pPr>
        <w:sectPr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spacing w:after="280"/>
        <w:jc w:val="center"/>
      </w:pPr>
      <w:r>
        <w:rPr>
          <w:rFonts w:ascii="Times New Roman" w:hAnsi="Times New Roman" w:eastAsia="黑体"/>
          <w:b/>
          <w:color w:val="1E3A8A"/>
          <w:sz w:val="36"/>
        </w:rPr>
        <w:t>目　录</w:t>
      </w:r>
    </w:p>
    <w:p>
      <w:pPr>
        <w:spacing w:after="120"/>
      </w:pPr>
      <w:r>
        <w:fldChar w:fldCharType="begin"/>
        <w:instrText xml:space="preserve">TOC \o "1-3" \h \z \u</w:instrText>
        <w:fldChar w:fldCharType="separate"/>
        <w:t>（目录将在文档中自动更新）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一、作品概述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1.1 背景介绍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建筑业是安全生产事故高发的行业之一。我国已建立起以《建设工程安全生产管理条例》（国务院令第393号）、《危险性较大的分部分项工程安全管理规定》（住建部令第37号）、《建筑施工安全检查标准》（JGJ59-2011）等为核心的施工安全法规标准体系，相关条文数以万计，且专业术语密集、条款分散于多部规范。施工现场一线安全员、项目管理人员与作业人员在实际工作中普遍面临“翻规范靠记忆、查条款靠翻书”的困境：隐患定性缺乏统一标准，检查记录、整改通知、安全周报等文档依赖手工编写，耗时且格式不统一，中小型项目更是缺少可负担的专职安全信息化工具。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近年来，以大语言模型为代表的“语言文字处理”类人工智能技术快速发展。本作品将检索增强生成（RAG）、多模态视觉识别、语音交互等成熟 AI 技术与施工安全场景深度结合，构建面向智慧工地的安全规范智能问答与风险预警助手，旨在显著降低规范查询门槛、提升安全检查的规范性与效率，支撑施工现场隐患“发现—分析—整改—闭环”全过程管理。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1.2 目标定位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（1）预期解决的问题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规范查询难：</w:t>
      </w:r>
      <w:r>
        <w:rPr>
          <w:rFonts w:ascii="Times New Roman" w:hAnsi="Times New Roman" w:eastAsia="宋体"/>
          <w:b w:val="0"/>
          <w:sz w:val="24"/>
        </w:rPr>
        <w:t>现场人员可通过自然语言或语音快速查询安全规范条款，摆脱手工翻阅；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隐患定性难：</w:t>
      </w:r>
      <w:r>
        <w:rPr>
          <w:rFonts w:ascii="Times New Roman" w:hAnsi="Times New Roman" w:eastAsia="宋体"/>
          <w:b w:val="0"/>
          <w:sz w:val="24"/>
        </w:rPr>
        <w:t>将隐患文字描述、现场照片甚至巡检视频一键转化为“风险等级＋依据条款＋整改建议”的结构化分析结果；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检查成文难：</w:t>
      </w:r>
      <w:r>
        <w:rPr>
          <w:rFonts w:ascii="Times New Roman" w:hAnsi="Times New Roman" w:eastAsia="宋体"/>
          <w:b w:val="0"/>
          <w:sz w:val="24"/>
        </w:rPr>
        <w:t>自动生成含现场照片的《施工安全检查报告》及整改通知单、监理工程师通知单、项目安全周报等成套文档（PDF），统一格式、成文提速；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闭环管理难：</w:t>
      </w:r>
      <w:r>
        <w:rPr>
          <w:rFonts w:ascii="Times New Roman" w:hAnsi="Times New Roman" w:eastAsia="宋体"/>
          <w:b w:val="0"/>
          <w:sz w:val="24"/>
        </w:rPr>
        <w:t>对隐患整改状态进行台账闭环跟踪与统计分析，实现全过程数字化留痕。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（2）技术指标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25 道建造领域测试题上，混合检索 Recall@1 = Recall@3 = Recall@5 = 100%；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单条隐患从描述到结构化分析结果输出耗时小于 1 分钟；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引用真实性校验对真实条款与编造条款判别准确：真实条款重叠率 1.0、完全编造条款 0.0。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（3）应用价值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系统可辅助施工现场提升安全隐患识别率与整改闭环率，降低因违规作业导致的安全事故风险；以网页应用形式部署于施工现场电脑，无需安装、学习成本低，适合面向中小施工企业推广。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二、需求分析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2.1 问题剖析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维度一：检索难。</w:t>
      </w:r>
      <w:r>
        <w:rPr>
          <w:rFonts w:ascii="Times New Roman" w:hAnsi="Times New Roman" w:eastAsia="宋体"/>
          <w:b w:val="0"/>
          <w:sz w:val="24"/>
        </w:rPr>
        <w:t>施工现场安全规范体系庞大、专业术语密集，一线人员存在关键词与语义双重检索鸿沟。例如“一机一闸一漏一箱”“危大工程”等专业表述，普通关键词检索难以命中；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维度二：判定难。</w:t>
      </w:r>
      <w:r>
        <w:rPr>
          <w:rFonts w:ascii="Times New Roman" w:hAnsi="Times New Roman" w:eastAsia="宋体"/>
          <w:b w:val="0"/>
          <w:sz w:val="24"/>
        </w:rPr>
        <w:t>同一隐患现象对应的条款分散在多部法规中，人工定性风险等级主观性强、标准不一，缺乏可追溯的依据条款支撑；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维度三：成文难。</w:t>
      </w:r>
      <w:r>
        <w:rPr>
          <w:rFonts w:ascii="Times New Roman" w:hAnsi="Times New Roman" w:eastAsia="宋体"/>
          <w:b w:val="0"/>
          <w:sz w:val="24"/>
        </w:rPr>
        <w:t>检查记录、整改通知单、监理通知单、安全周报等文档手工编写耗时且格式不统一，检查结果难以沉淀为规范成果；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维度四：闭环难。</w:t>
      </w:r>
      <w:r>
        <w:rPr>
          <w:rFonts w:ascii="Times New Roman" w:hAnsi="Times New Roman" w:eastAsia="宋体"/>
          <w:b w:val="0"/>
          <w:sz w:val="24"/>
        </w:rPr>
        <w:t>隐患整改缺乏台账跟踪，整改状态不可追溯，统计汇总依赖人工，闭环管理缺失。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2.2 需求调研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需求来源于三类渠道：一是文献研究，系统研读国家与行业法规标准，梳理一线安全管理的核心业务流程与高频痛点；二是校园与网络调研，面向工程管理、土木工程相关专业学生与施工企业公开资料，归纳对规范查询、隐患识别、报告成文等功能的需求；三是课程项目实践验证，将原型投入实际场景试用，根据反馈迭代功能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（1）功能需求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多文档知识库：支持 txt / md / pdf 文档上传、增删与索引重建，本地持久化；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自然语言/语音问答：流式输出、来源引用与查询关键词高亮；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隐患风险结构化分析：输出风险等级、依据条款、整改建议，并附引用真实性核验；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多模态识别：现场照片与巡检视频的隐患自动识别；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报告与通知单导出：含现场照片的安全检查报告及多模板工程文档（PDF）；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隐患台账与统计：状态流转、风险等级分布、高频关键词、累计趋势；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知识库定时更新：自动扫描文档目录、增量重建索引；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检索与模型参数可调：Top-K、距离阈值、混合权重、Rerank 开关、模型切换。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（2）性能与体验需求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检索命中率高（Top-K 召回准确）、流式输出响应快；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本地知识库持久化，检索过程不依赖外部数据库；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网页界面、无需安装客户端，支持文件拖拽上传与麦克风语音输入。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三、AI 技术工具选择与运用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3.1 总体技术选型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系统采用“自研 RAG 引擎 + 云侧大模型能力”的架构，核心技术选型如下表所示。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814"/>
            <w:shd w:val="clear" w:fill="EEF2FF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技术环节</w:t>
            </w:r>
          </w:p>
        </w:tc>
        <w:tc>
          <w:tcPr>
            <w:tcW w:type="dxa" w:w="3402"/>
            <w:shd w:val="clear" w:fill="EEF2FF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选用技术/工具</w:t>
            </w:r>
          </w:p>
        </w:tc>
        <w:tc>
          <w:tcPr>
            <w:tcW w:type="dxa" w:w="2948"/>
            <w:shd w:val="clear" w:fill="EEF2FF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选型依据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文本分块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语义分块（按“第X条/一、/数字./#”标题识别）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保留条款语义完整性，提升小块语料召回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文本向量化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通义千问 text-embedding-v3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中文语义理解强，API 稳定可靠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关键词检索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jieba 分词 + BM25（rank_bm25）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精确词召回，补充向量检索的术语短板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混合融合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RRF 排序融合（BM25 权重 0.25）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无参数、鲁棒，工程落地简单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重排精排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gte-rerank-v2（DashScope Rerank 接口）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对融合结果二次精排，提升排序质量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qwen3.8-flash / qwen3.7-plus / qwen3.8-max（可切换）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新一代旗舰系列，规避旧模型下线，支持流式输出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多模态识别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qwen3.7-plus（OpenAI 兼容接口，支持视觉）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现场照片/视频帧隐患识别，实现“看图定险”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语音识别/合成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qwen3-asr-flash（ASR）/ sambert-zhichu-v1（TTS）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实现语音问答闭环，适配现场快速记录场景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向量库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FAISS（IndexFlatL2）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本地持久化，检索性能优异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网页端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Gradio 6.26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快速构建可交互网页原型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统计图表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Plotly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台账统计可视化（饼图/柱状/折线）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视频处理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OpenCV（cv2 均匀抽帧）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巡检视频逐帧隐患识别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文档生成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python-docx → Word → PDF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报告/通知单/周报成套文档输出</w:t>
            </w:r>
          </w:p>
        </w:tc>
      </w:tr>
      <w:tr>
        <w:tc>
          <w:tcPr>
            <w:tcW w:type="dxa" w:w="181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量化评估</w:t>
            </w:r>
          </w:p>
        </w:tc>
        <w:tc>
          <w:tcPr>
            <w:tcW w:type="dxa" w:w="3402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自研 evaluate.py（Recall@k 消融对比）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评估过程可复现、可量化</w:t>
            </w:r>
          </w:p>
        </w:tc>
      </w:tr>
    </w:tbl>
    <w:p>
      <w:pPr>
        <w:spacing w:after="40" w:line="336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3.2 创新点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创新点一：混合检索＋Rerank 重排。</w:t>
      </w:r>
      <w:r>
        <w:rPr>
          <w:rFonts w:ascii="Times New Roman" w:hAnsi="Times New Roman" w:eastAsia="宋体"/>
          <w:b w:val="0"/>
          <w:sz w:val="24"/>
        </w:rPr>
        <w:t>采用“向量检索＋关键词检索”双路召回、RRF 排序融合并叠加 gte-rerank-v2 重排，有效解决建造领域专业术语的召回与排序质量问题；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创新点二：引用真实性核验。</w:t>
      </w:r>
      <w:r>
        <w:rPr>
          <w:rFonts w:ascii="Times New Roman" w:hAnsi="Times New Roman" w:eastAsia="宋体"/>
          <w:b w:val="0"/>
          <w:sz w:val="24"/>
        </w:rPr>
        <w:t>从“问答”升级为“决策辅助”：结构化输出风险等级、依据条款与整改建议，且依据条款经 5-gram 词重叠校验自动标注“已核验/待复核”，有效防范大模型编造条款（幻觉）风险；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创新点三：多模态隐患识别。</w:t>
      </w:r>
      <w:r>
        <w:rPr>
          <w:rFonts w:ascii="Times New Roman" w:hAnsi="Times New Roman" w:eastAsia="宋体"/>
          <w:b w:val="0"/>
          <w:sz w:val="24"/>
        </w:rPr>
        <w:t>上传现场照片或巡检视频即可自动识别隐患并生成含图检查报告，形成“看图→定性→成文”的完整闭环；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创新点四：隐患闭环管理。</w:t>
      </w:r>
      <w:r>
        <w:rPr>
          <w:rFonts w:ascii="Times New Roman" w:hAnsi="Times New Roman" w:eastAsia="宋体"/>
          <w:b w:val="0"/>
          <w:sz w:val="24"/>
        </w:rPr>
        <w:t>风险记录自动进入隐患台账，支持“待整改→复查中→已整改”状态流转，一键生成整改通知单、监理工程师通知单、项目安全周报（PDF）并配套统计仪表盘；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创新点五：语音问答闭环。</w:t>
      </w:r>
      <w:r>
        <w:rPr>
          <w:rFonts w:ascii="Times New Roman" w:hAnsi="Times New Roman" w:eastAsia="宋体"/>
          <w:b w:val="0"/>
          <w:sz w:val="24"/>
        </w:rPr>
        <w:t>现场语音描述→语音转文字→风险分析→文字转语音播报，适配现场不便打字的作业场景；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创新点六：知识库定时更新。</w:t>
      </w:r>
      <w:r>
        <w:rPr>
          <w:rFonts w:ascii="Times New Roman" w:hAnsi="Times New Roman" w:eastAsia="宋体"/>
          <w:b w:val="0"/>
          <w:sz w:val="24"/>
        </w:rPr>
        <w:t>后台线程定时扫描文档目录，检测到新增或改动文档自动重建索引，保证法规知识库的时效性。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四、项目实施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4.1 实施方案设计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（1）实施步骤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① 垂直知识库建设：</w:t>
      </w:r>
      <w:r>
        <w:rPr>
          <w:rFonts w:ascii="Times New Roman" w:hAnsi="Times New Roman" w:eastAsia="宋体"/>
          <w:b w:val="0"/>
          <w:sz w:val="24"/>
        </w:rPr>
        <w:t>面向公开法规与标准采集清洗，构建垂直领域知识库；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② 核心引擎构建：</w:t>
      </w:r>
      <w:r>
        <w:rPr>
          <w:rFonts w:ascii="Times New Roman" w:hAnsi="Times New Roman" w:eastAsia="宋体"/>
          <w:b w:val="0"/>
          <w:sz w:val="24"/>
        </w:rPr>
        <w:t>实现语义分块、向量化、双路索引与混合检索等核心引擎能力；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③ 结构化风险分析层：</w:t>
      </w:r>
      <w:r>
        <w:rPr>
          <w:rFonts w:ascii="Times New Roman" w:hAnsi="Times New Roman" w:eastAsia="宋体"/>
          <w:b w:val="0"/>
          <w:sz w:val="24"/>
        </w:rPr>
        <w:t>实现含引用真实性校验的结构化风险分析层；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④ 应用层建设：</w:t>
      </w:r>
      <w:r>
        <w:rPr>
          <w:rFonts w:ascii="Times New Roman" w:hAnsi="Times New Roman" w:eastAsia="宋体"/>
          <w:b w:val="0"/>
          <w:sz w:val="24"/>
        </w:rPr>
        <w:t>实现多模态识别、报告生成、隐患台账、语音问答等应用层功能；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⑤ 评估与优化：</w:t>
      </w:r>
      <w:r>
        <w:rPr>
          <w:rFonts w:ascii="Times New Roman" w:hAnsi="Times New Roman" w:eastAsia="宋体"/>
          <w:b w:val="0"/>
          <w:sz w:val="24"/>
        </w:rPr>
        <w:t>构建建造领域测试集，开展消融实验与引用校验单测，持续优化。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（2）团队分工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color w:val="64748B"/>
          <w:sz w:val="24"/>
        </w:rPr>
        <w:t>（报名后填写，团队不超过 8 人，可跨 2 所学校）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（3）时间计划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2026 年 9 月：知识库建设与核心引擎开发；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2026 年 10 月上旬：功能完善、消融评估与文档整理；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2026 年 10 月 15 日前：完成作品材料提交。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4.2 系统架构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整体采用分层架构，自底向上分为数据层、检索层、模型层、应用层与展示层：数据层负责法规文档的采集清洗与持久化；检索层完成语义分块、向量化、双路索引构建与混合检索；模型层统一封装大模型文本生成、多模态视觉、语音识别与合成能力；应用层实现风险分析、引用校验、台账闭环、报告生成与语音问答等业务逻辑；展示层基于 Gradio 提供网页交互界面。各层通过统一接口解耦，支持参数可调与模型热切换。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4.3 关键技术实现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（1）知识库构建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知识库包含 11 份权威文档：条例全文、危大工程安全管理规定全文及危大工程范围清单、JGJ59/JGJ80/JGJ46/JGJ130/JGJT429 等标准要点、典型安全隐患案例库、政府真实事故调查报告案例库及住建厅隐患辨识图集要点。采用语义分块策略，依据“第X条”“一、”“数字.”“#”等标题结构切分，保证每个分块对应完整的规范条款语义单元，共生成 701 个文本块。向量索引（FAISS）与关键词索引（BM25）均本地持久化，启动时秒级加载。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（2）混合检索与 Rerank 重排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检索阶段并行执行向量召回（L2 距离阈值过滤）与 BM25 关键词召回，再以 RRF 公式 score=Σ 1/(K+rank) 融合双路结果（BM25 路权重 0.25），对融合后的 Top-10 候选调用 gte-rerank-v2 二次精排，取 Top-K 作为上下文。Rerank 接口异常时自动降级为 RRF 结果，保证服务可用性。同时基于对话历史执行 Query 改写，将指代性提问改写为独立可检索语句。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（3）结构化风险分析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将检索到的 Top-5 条款与用户输入的隐患描述（文字或照片识别结果）组织为固定 Prompt，要求大模型按预定义 JSON Schema 输出风险等级（重大/一般/无隐患）、隐患摘要、依据条款与整改建议，前端渲染为结构化风险卡片。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（4）引用真实性核验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针对大模型输出的依据条款，采用 5-gram 词重叠率校验：将引用条款与知识库原文进行 n-gram 切分并计算重叠率，阈值设为 0.5。重叠率不低于阈值的标注“已核验”，低于阈值的标注“待复核”，提示用户人工确认，从机制上拦截“编造条款”。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（5）多模态隐患识别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现场照片经多模态大模型（qwen3.7-plus）识别隐患现象并接入风险分析链路；巡检视频经 OpenCV 均匀抽帧（默认 6 帧）逐帧识别，生成包含时间点、风险等级、证据描述、整改建议与帧图的视频巡检记录，自动并入隐患台账。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（6）隐患闭环管理与报告生成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风险记录（含现场照片、责任人、整改期限）自动写入隐患台账，支持“待整改→复查中→已整改”状态流转；按整改通知单、监理工程师通知单、项目安全周报三种模板一键生成 Word 文档并转换为 PDF。风险分析记录汇总生成含隐患清单、隐患详情、结论与签字栏的《施工安全检查报告》（PDF），隐患详情自动嵌入现场照片。配套统计仪表盘展示风险等级分布饼图、高频隐患关键词 Top10 与隐患累计趋势折线图。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（7）语音问答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麦克风录音经 qwen3-asr-flash 转写为文字并自动填入风险分析输入框，风险分析结果经 sambert 语音合成播报，形成“说隐患→听结论”的语音闭环。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（8）多模型切换与引用高亮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问答、风险分析、视频分析全链路支持模型参数传递，界面下拉可在 qwen3.8-flash（快）、qwen3.7-plus（更准）、qwen3.8-max（最强）之间切换。回答与依据条款中的查询关键词经 jieba 分词后加粗高亮，并提取“第X条”条款号作为标题，便于用户快速定位原文。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五、应用成效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5.1 成果展示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（1）功能实现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安全规范问答：流式输出、来源引用、关键词高亮、条款号提取、多模型切换；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隐患风险结构化分析：重大/一般/无隐患三级判定，附依据条款与整改建议；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多模态隐患识别：现场照片识别与巡检视频逐帧识别；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引用真实性核验：真实条款标注“已核验”、编造条款标注“待复核”；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文档生成：含照片安全检查报告、整改通知单、监理工程师通知单、项目安全周报（PDF）；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隐患台账闭环与统计仪表盘：状态流转、风险等级分布、高频关键词、累计趋势；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语音问答、知识库定时更新、检索参数可调等辅助能力。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（2）量化评估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基于真实运行数据（2026 年 9 月），构建 25 道建造领域测试题（覆盖 9 部规范条文与政府真实事故案例，含“济南历城12·30沟槽坍塌”“淄博桓台8·11高处坠落”等案例问答），开展三组消融实验对比纯向量检索、混合检索、混合检索＋Rerank 的检索命中率：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fill="EEF2F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检索方案</w:t>
            </w:r>
          </w:p>
        </w:tc>
        <w:tc>
          <w:tcPr>
            <w:tcW w:type="dxa" w:w="2183"/>
            <w:shd w:val="clear" w:fill="EEF2F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Recall@1</w:t>
            </w:r>
          </w:p>
        </w:tc>
        <w:tc>
          <w:tcPr>
            <w:tcW w:type="dxa" w:w="2183"/>
            <w:shd w:val="clear" w:fill="EEF2F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Recall@3</w:t>
            </w:r>
          </w:p>
        </w:tc>
        <w:tc>
          <w:tcPr>
            <w:tcW w:type="dxa" w:w="2183"/>
            <w:shd w:val="clear" w:fill="EEF2F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Recall@5</w:t>
            </w:r>
          </w:p>
        </w:tc>
      </w:tr>
      <w:tr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纯向量检索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混合检索（向量＋BM25）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混合检索＋Rerank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2183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</w:tbl>
    <w:p>
      <w:pPr>
        <w:spacing w:after="40" w:line="336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引用真实性校验单测：真实条款与知识库原文重叠率 1.0（判定“已核验”）、完全编造条款重叠率 0.0（判定“待复核”）、部分重叠条款重叠率 0.5（达到阈值通过），判别准确。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（3）应用案例</w:t>
      </w:r>
    </w:p>
    <w:p>
      <w:pPr>
        <w:spacing w:after="120" w:line="336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深基坑未编制专项施工方案、高处作业未系安全带、临时用电私拉乱接、电梯井口防护缺失、脚手架临边无防护等典型隐患场景，系统均能输出正确的风险等级、依据条款与整改建议，并演示从风险分析、报告生成、整改通知单下发到台账状态流转的完整闭环流程（详见演示视频与系统截图）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5.2 效益分析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效率提升：</w:t>
      </w:r>
      <w:r>
        <w:rPr>
          <w:rFonts w:ascii="Times New Roman" w:hAnsi="Times New Roman" w:eastAsia="宋体"/>
          <w:b w:val="0"/>
          <w:sz w:val="24"/>
        </w:rPr>
        <w:t>隐患“描述→定性→整改建议→成文”全程不超过 1 分钟，相较人工翻规范、手写记录大幅提速，周报与通知单一键成文；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规范性强：</w:t>
      </w:r>
      <w:r>
        <w:rPr>
          <w:rFonts w:ascii="Times New Roman" w:hAnsi="Times New Roman" w:eastAsia="宋体"/>
          <w:b w:val="0"/>
          <w:sz w:val="24"/>
        </w:rPr>
        <w:t>分析结论全部基于权威法规条款并附来源与真实性核验标记，降低主观误判与“编造条款”风险；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闭环管理：</w:t>
      </w:r>
      <w:r>
        <w:rPr>
          <w:rFonts w:ascii="Times New Roman" w:hAnsi="Times New Roman" w:eastAsia="宋体"/>
          <w:b w:val="0"/>
          <w:sz w:val="24"/>
        </w:rPr>
        <w:t>隐患整改状态全程可追溯、可统计，支持项目安全管理数字化留痕；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可复制性：</w:t>
      </w:r>
      <w:r>
        <w:rPr>
          <w:rFonts w:ascii="Times New Roman" w:hAnsi="Times New Roman" w:eastAsia="宋体"/>
          <w:b w:val="0"/>
          <w:sz w:val="24"/>
        </w:rPr>
        <w:t>知识库可按工程类型（市政/房建/水利等）灵活替换，系统具备向智慧工地平台集成与推广的潜力。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六、总结与展望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6.1 经验总结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（1）成功经验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按条款标题进行语义分块，显著提升小语料场景的召回率；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混合检索＋Rerank 方案在三组消融实验中均达 100% 命中，验证了方案在小规模垂直语料上的有效性；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固定 JSON Schema 的结构化 Prompt 显著提升大模型输出的可用性与可解析性；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引用真实性核验有效拦截“编造条款”，为面向工程场景的 AI 应用提供了可信机制；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后台定时重建索引保证了知识库随法规更新保持时效性。</w:t>
      </w:r>
    </w:p>
    <w:p>
      <w:pPr>
        <w:pStyle w:val="Heading3"/>
        <w:spacing w:before="160" w:after="80"/>
      </w:pPr>
      <w:r>
        <w:rPr>
          <w:rFonts w:ascii="Times New Roman" w:hAnsi="Times New Roman" w:eastAsia="黑体"/>
          <w:b/>
          <w:color w:val="1F2937"/>
          <w:sz w:val="24"/>
        </w:rPr>
        <w:t>（2）不足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知识库规模仍有限（11 份文档、701 个文本块），Rerank 在召回率上未拉开明显差距（小语料已饱和），需在更大语料下验证其排序价值；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风险等级判定依赖大模型能力，需人工复核兜底；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语音能力依赖云端接口，嘈杂施工现场的识别率有待实测优化。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6.2 未来规划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知识库扩充：</w:t>
      </w:r>
      <w:r>
        <w:rPr>
          <w:rFonts w:ascii="Times New Roman" w:hAnsi="Times New Roman" w:eastAsia="宋体"/>
          <w:b w:val="0"/>
          <w:sz w:val="24"/>
        </w:rPr>
        <w:t>接入更多省市标准、专项施工方案模板与住建部事故通报，扩充至百份级语料，并配合定时更新按季度滚动维护；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能力升级：</w:t>
      </w:r>
      <w:r>
        <w:rPr>
          <w:rFonts w:ascii="Times New Roman" w:hAnsi="Times New Roman" w:eastAsia="宋体"/>
          <w:b w:val="0"/>
          <w:sz w:val="24"/>
        </w:rPr>
        <w:t>视频流实时隐患识别、BIM 模型关联、手机端小程序、隐患告警推送；预留本地小模型引擎（Ollama＋Qwen3 量化版）接口，支持断网/私有化部署场景；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/>
          <w:sz w:val="24"/>
        </w:rPr>
        <w:t>• 推广策略：</w:t>
      </w:r>
      <w:r>
        <w:rPr>
          <w:rFonts w:ascii="Times New Roman" w:hAnsi="Times New Roman" w:eastAsia="宋体"/>
          <w:b w:val="0"/>
          <w:sz w:val="24"/>
        </w:rPr>
        <w:t>以“规范问答＋检查报告＋整改闭环”为切入点进入中小施工企业，按项目/企业提供私有化部署。</w:t>
      </w:r>
    </w:p>
    <w:p>
      <w:pPr>
        <w:pStyle w:val="Heading1"/>
        <w:spacing w:before="360" w:after="200"/>
      </w:pPr>
      <w:r>
        <w:rPr>
          <w:rFonts w:ascii="Times New Roman" w:hAnsi="Times New Roman" w:eastAsia="黑体"/>
          <w:b/>
          <w:color w:val="1E3A8A"/>
          <w:sz w:val="32"/>
        </w:rPr>
        <w:t>七、附录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7.1 参考文献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[1] 国务院. 建设工程安全生产管理条例（国务院令第393号）[S]. 中国政府网.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[2] 住房和城乡建设部. 危险性较大的分部分项工程安全管理规定（住建部令第37号）[S]. 中国政府网.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[3] 住房和城乡建设部. 建筑施工安全检查标准：JGJ59-2011[S]. 中国建筑工业出版社, 2011.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[4] 住房和城乡建设部. 建筑施工高处作业安全技术规范：JGJ80-2016[S]. 中国建筑工业出版社, 2016.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[5] 住房和城乡建设部. 施工现场临时用电安全技术规范：JGJ46-2005[S]. 中国建筑工业出版社, 2005.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[6] Lewis P, Perez E, Piktus A, et al. Retrieval-Augmented Generation for Knowledge-Intensive NLP Tasks[C]//NeurIPS 2020.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[7] Robertson S, Zaragoza H. The Probabilistic Relevance Framework: BM25 and Beyond[J]. Foundations and Trends in Information Retrieval, 2009.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[8] Johnson J, Douze M, Jégou H. Billion-scale Similarity Search with GPUs[J]. IEEE Transactions on Big Data, 2019.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sz w:val="21"/>
        </w:rPr>
        <w:t>[9] 浙江省住房和城乡建设厅. 建筑施工安全隐患辨识图集[EB/OL]. 政府公开资料.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7.2 数据资料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docs/ 目录共 11 份文档，含条例全文、危大工程规定全文、标准要点、典型隐患案例库、政府真实事故调查报告案例库与住建厅隐患辨识图集，来源均为政府公开渠道并已标注；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test_set_construction.json：25 道建造领域评估测试题，覆盖 9 部规范与真实事故案例。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7.3 代码与模型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rag_core.py：核心引擎（语义分块、向量化、混合检索、Rerank、风险分析、多模态、语音、引用校验）；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rag_webui.py：Gradio 网页端（问答、风险分析、视频巡检、台账、统计、语音、定时更新）；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evaluate.py：三组消融对比评估脚本；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demo_scenarios.md：演示视频脚本；部署说明见 README.md。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1F2937"/>
          <w:sz w:val="28"/>
        </w:rPr>
        <w:t>7.4 其他材料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演示视频（3–5 分钟，MP4，≤300MB）；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项目介绍（含系统界面截图）；</w:t>
      </w:r>
    </w:p>
    <w:p>
      <w:pPr>
        <w:spacing w:after="80" w:line="336" w:lineRule="auto"/>
        <w:ind w:left="360"/>
      </w:pPr>
      <w:r>
        <w:rPr>
          <w:rFonts w:ascii="Times New Roman" w:hAnsi="Times New Roman" w:eastAsia="宋体"/>
          <w:b w:val="0"/>
          <w:sz w:val="24"/>
        </w:rPr>
        <w:t>• 消融实验记录与引用校验单测结果。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0"/>
      </w:rPr>
      <w:t xml:space="preserve">—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sz w:val="20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0"/>
      </w:rPr>
      <w:t xml:space="preserve">—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sz w:val="20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957" w:val="right"/>
      </w:tabs>
      <w:pBdr>
        <w:bottom w:val="single" w:sz="6" w:space="2" w:color="1E3A8A"/>
      </w:pBdr>
    </w:pPr>
    <w:r>
      <w:drawing>
        <wp:inline xmlns:a="http://schemas.openxmlformats.org/drawingml/2006/main" xmlns:pic="http://schemas.openxmlformats.org/drawingml/2006/picture">
          <wp:extent cx="540000" cy="25276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_logo_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" cy="25276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/>
        <w:b w:val="0"/>
        <w:color w:val="64748B"/>
        <w:sz w:val="18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