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V1.2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与澄清口径为准，判定 SRS 错误、实现更贴近框架（其中 P06 的实现审批路由同时放行系统管理员，与“负责资料保管的教师审核”口径仍有出入，按该条影响栏表述）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组，原文存 组员核查意见/ 目录）并逐条落改——22 项证据表述精化（B10／B11 按页码级核对更新、B13／B14 位置修正、C1 改“有全局规则无字段规则”、C6 改“共同缺失”、D2／P03 补“违规可撤销”、P05 引语分段并限定辅证性质、P06 收紧为“审核主体混称与授权机制不完整”、P10 收紧为“整站迁移需求不完整”、P12 改逐条对照、P13 修位置与建议、P02 并入冷却期规则），E1／B12／B15 三项改判部分符合；杨峥意见中“会议后按实际发言记录、预填稿不作为已发生证据”的原则一并采纳——本记录表决内容以会议实际确认为准。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决议一：评审结论为部分批准（有条件通过）——SRS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2026-10-21T15:26:22.342Z</dcterms:created>
  <dcterms:modified xsi:type="dcterms:W3CDTF">2026-10-21T15:26:22.342Z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