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1"/>
        <w:tblW w:w="5000" w:type="pct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06"/>
      </w:tblGrid>
      <w:tr w14:paraId="33C5AD66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838" w:hRule="exac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0B1C2C"/>
            <w:vAlign w:val="top"/>
          </w:tcPr>
          <w:p w14:paraId="7C55DDF0">
            <w:pPr>
              <w:spacing w:before="4596"/>
            </w:pPr>
          </w:p>
          <w:p w14:paraId="64F31E1F"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黑体"/>
                <w:color w:val="529286"/>
                <w:spacing w:val="40"/>
                <w:sz w:val="18"/>
                <w:szCs w:val="18"/>
              </w:rPr>
              <w:t>R  E  V  I  E  W     C  H  E  C  K  L  I  S  T</w:t>
            </w:r>
          </w:p>
          <w:p w14:paraId="6A0F5F45">
            <w:pPr>
              <w:spacing w:after="300" w:line="920" w:lineRule="atLeast"/>
              <w:ind w:left="1200"/>
            </w:pPr>
            <w:r>
              <w:rPr>
                <w:rFonts w:ascii="Arial" w:eastAsia="黑体"/>
                <w:b/>
                <w:bCs/>
                <w:color w:val="FFFFFF"/>
                <w:sz w:val="80"/>
                <w:szCs w:val="80"/>
              </w:rPr>
              <w:t>需求评审检查表</w:t>
            </w:r>
          </w:p>
          <w:p w14:paraId="2AC2C026">
            <w:pPr>
              <w:spacing w:after="800"/>
              <w:ind w:left="1200"/>
            </w:pPr>
            <w:r>
              <w:rPr>
                <w:rFonts w:ascii="Arial" w:eastAsia="微软雅黑"/>
                <w:color w:val="B0B8C0"/>
                <w:sz w:val="24"/>
                <w:szCs w:val="24"/>
              </w:rPr>
              <w:t>网络攻防对抗技术研究所管理系统 · 作业5 团队技术评审（需求阶段）</w:t>
            </w:r>
          </w:p>
          <w:p w14:paraId="38DDAC00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评审方：SQA2 评审组</w:t>
            </w:r>
          </w:p>
          <w:p w14:paraId="18F2DF56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被评审对象：软件需求规格说明书_SQA1.docx</w:t>
            </w:r>
          </w:p>
          <w:p w14:paraId="10CB07BF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结论口径：符合／部分符合／不符合／不适用</w:t>
            </w:r>
          </w:p>
          <w:p w14:paraId="65A17A11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版本 V1.0 · 2026 年 10 月 20 日</w:t>
            </w:r>
          </w:p>
          <w:p w14:paraId="32B2FB57">
            <w:pPr>
              <w:spacing w:before="4596"/>
            </w:pPr>
          </w:p>
          <w:p w14:paraId="10DA8C61"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微软雅黑"/>
                <w:color w:val="687078"/>
                <w:sz w:val="16"/>
                <w:szCs w:val="16"/>
              </w:rPr>
              <w:t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>SQA2</w:t>
            </w:r>
          </w:p>
        </w:tc>
      </w:tr>
    </w:tbl>
    <w:p w14:paraId="3494F016">
      <w:pPr>
        <w:sectPr>
          <w:pgSz w:w="11906" w:h="16838"/>
          <w:pgMar w:top="0" w:right="0" w:bottom="0" w:left="0" w:header="708" w:footer="708" w:gutter="0"/>
          <w:cols w:space="720" w:num="1"/>
          <w:docGrid w:linePitch="360" w:charSpace="0"/>
        </w:sectPr>
      </w:pPr>
    </w:p>
    <w:p w14:paraId="591DC76D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1　使用说明</w:t>
      </w:r>
    </w:p>
    <w:p w14:paraId="77ECA006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本检查表是《需求评审计划_SQA2》第 7 节规定的评审手段，供评审员在会前独立核查与评审会议逐条表决使用。检查项依据编号 Y1～Y9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 w14:paraId="5E485186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国标版本核验（2026-10-20，全国标准信息公共服务平台）：GB/T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 w14:paraId="62DB4266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2　A　文档结构与文档管理</w:t>
      </w:r>
    </w:p>
    <w:p w14:paraId="42C8B1FD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依据说明：依据：GB/T 8567-2006 7.11、GB/T 9385-2008、IEEE 830-1998。</w:t>
      </w:r>
    </w:p>
    <w:p w14:paraId="07F63AF1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2-1　A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104B288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3619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110CF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060C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F09FB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A6BA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0E953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5973537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A0FC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5B27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封面与标题正确、一致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4CFD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1.1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F573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3B9F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E71E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封面书名为“软件规格说明书”，正文标题为“软件需求规格说明”，封面漏“需求”二字且两处不一致</w:t>
            </w:r>
          </w:p>
        </w:tc>
      </w:tr>
      <w:tr w14:paraId="2BB637D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2EBF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08AC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版本号与修订历史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9C08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1.1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EED0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15CE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208E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全文无版本号、无修订历史表；无法支撑配置管理与变更追溯</w:t>
            </w:r>
          </w:p>
        </w:tc>
      </w:tr>
      <w:tr w14:paraId="755E06BF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6260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EDE3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文档标识要素（标识号、标题、缩略词语、版本号、发行号）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0D6A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1.1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D210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9597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4A470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有标题与编制日期，无文档编号与版本信息</w:t>
            </w:r>
          </w:p>
        </w:tc>
      </w:tr>
      <w:tr w14:paraId="606E998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861A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AF00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基线说明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0A94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1.4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693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74BD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DF64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未说明编制所依据的需求基线；框架 V3.3.1 仅列于参考文献，未声明为基线</w:t>
            </w:r>
          </w:p>
        </w:tc>
      </w:tr>
      <w:tr w14:paraId="07D7B2F8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4464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6C5C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引用文件完整（编号、标题、修订版本、日期、来源）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19CA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2E22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99D7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27A7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1.5 列出 5 项参考文献但无修订版本与日期；未将《技术开发合同》列为需求来源（测试文档大量引用合同 3.2.2、9.1 等条款，SRS 未引用）</w:t>
            </w:r>
          </w:p>
        </w:tc>
      </w:tr>
      <w:tr w14:paraId="6FFDEAC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39AC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18FA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需求具有项目唯一标识符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E95F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 章、Y8 4.4.9、Y5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A5A0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7FF9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7E24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功能需求仅以章节号（4.3.x.x）组织，无 FR-xx 类唯一标识，测试用例与追踪矩阵无法引用；Y8 4.4.9 明确正向可追踪性要求每个需求有唯一名称或索引号</w:t>
            </w:r>
          </w:p>
        </w:tc>
      </w:tr>
      <w:tr w14:paraId="1FA47E1F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1DBB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A7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57600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合格性规定（逐需求指定演示／测试／分析／审查）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B4AC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4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9C6E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ACA1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CCB7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无对应章节；仅 1.1 笼统提及作为测试依据</w:t>
            </w:r>
          </w:p>
        </w:tc>
      </w:tr>
      <w:tr w14:paraId="1B706F9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FFCA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A8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D139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需求可追踪性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24AD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5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13AE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0E8D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5C6E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内无追踪矩阵；随附代码库 docs／需求对照表.md 按框架逐条追踪到实现位置（做法值得肯定），但未纳入正式文档体系</w:t>
            </w:r>
          </w:p>
        </w:tc>
      </w:tr>
      <w:tr w14:paraId="34CDA3DF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E865F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A9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0430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尚未解决的问题清单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A404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7.11 第 6 章、Y8 4.4.4（电子版第 7 页）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6518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739A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81F2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无「尚未解决的问题」清单（TBD＝待定项）：真实数据规模、图书编号换算、邮件渠道等待定项未列；Y8 4.4.4 原文：任何含“待定”的 SRS 是不完备的，使用“待定”须说明原因、措施、责任人和时限</w:t>
            </w:r>
          </w:p>
        </w:tc>
      </w:tr>
    </w:tbl>
    <w:p w14:paraId="62282193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3　B　功能需求覆盖</w:t>
      </w:r>
    </w:p>
    <w:p w14:paraId="2B76C892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依据说明：依据：Y1 框架逐模块。</w:t>
      </w:r>
    </w:p>
    <w:p w14:paraId="3EE85FE7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2-2　B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38E4D52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49CAF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BFE32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3FC6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7A67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98B69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D50B7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59CFD4F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4B92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1E1E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三类角色与权限隔离、账号由管理员后台生成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4239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§2.1、§2.2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6AE7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A274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46B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2.3 用户类、4.3.3.1 用户管理与框架一致</w:t>
            </w:r>
          </w:p>
        </w:tc>
      </w:tr>
      <w:tr w14:paraId="7D4B092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42C7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4709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批量导入（Excel、CSV）与行级报错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33F7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DC0D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7D69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4A7D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4.3.3.1 及 3.3.4 规定列映射与行号报错</w:t>
            </w:r>
          </w:p>
        </w:tc>
      </w:tr>
      <w:tr w14:paraId="7255210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0A92E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2E43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首页要素（AIGC LOGO、中英文名、版权、动态实时、三外链）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D7E1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F05F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193DF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0922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4.3.1.1 覆盖前四项；计算机学院、研究生院、研究生管理系统三个外链仅在 2.4、3.4 作为环境与接口出现，未落为功能需求</w:t>
            </w:r>
          </w:p>
        </w:tc>
      </w:tr>
      <w:tr w14:paraId="6C522CC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9E64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B0A9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关于我们四栏目及人员展示字段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11A5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05CC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E213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0E4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栏目划分符合；但字段自造（含照片、职称、研究方向），框架规定的全职教师（职称、导师资格、研究所职务、社会兼职、学院行政职务）、兼职教师（职称、工作单位）及学生详情字段未落</w:t>
            </w:r>
          </w:p>
        </w:tc>
      </w:tr>
      <w:tr w14:paraId="4CC5B71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01F16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C81D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动态消息三子栏目与撰稿人、时间、图文流媒体、附件下载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A816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§3.1.4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1C7C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F363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2B61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4.3.1.3 与框架一致</w:t>
            </w:r>
          </w:p>
        </w:tc>
      </w:tr>
      <w:tr w14:paraId="219583D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29E2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9FA0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教学工作字段（编号、名称、性质、层次、授课时间、主讲教师）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27FC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§3.1.5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8FD1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DC23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9A71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4.3.1.4 自造为课程名称、授课教师、教学大纲；科研工作自加负责人、经费来源、研究进展（框架仅项目名称、项目性质）</w:t>
            </w:r>
          </w:p>
        </w:tc>
      </w:tr>
      <w:tr w14:paraId="28BE9E4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5671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B7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CCEA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研究成果教学 4＋科研 4 三级栏目、字段、后台导入、前台表格展示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B25F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§3.1.6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AEA6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6339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9D0E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栏目语义走样：丢失“成果”（获奖）栏目，著作权窄化为“软件著作权”；各栏字段（层次、刊号、会议时间、专利申请号、著作权登记号等）未按框架定义；后台 Excel／CSV 导入与前台表格展示未落</w:t>
            </w:r>
          </w:p>
        </w:tc>
      </w:tr>
      <w:tr w14:paraId="541924DC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E03ED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B8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6BB6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招生信息字段（技术要求、工作时间、其他要求、联系人、联系方式）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E17A1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§3.1.7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484F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622C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5BA7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4.3.1.6 整体自造为招生简章、导师介绍、考试大纲、录取公示；测试文档预期却按框架字段描述，口径不一</w:t>
            </w:r>
          </w:p>
        </w:tc>
      </w:tr>
      <w:tr w14:paraId="069CD9B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83B7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B9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7C84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国际合作表格三字段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03B4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§3.1.8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A3A0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23A6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08C39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4.3.1.7 覆盖大学／企业、国家、合作项目；自加起始时间与排序分页属合理增强，建议标注为扩展</w:t>
            </w:r>
          </w:p>
        </w:tc>
      </w:tr>
      <w:tr w14:paraId="31577C7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832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B10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64B7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签到签出：登录自动签到、登出自动签出；所长与全职教师两级统计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1FF2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§3.2.1.2.1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1FA15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F275A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36D4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4.2、4.3.2.1 改为手动一键签到／签出，并自加节假日配置、出勤率、迟到早退、在岗时长；实现（auth.go 于登录／登出自动签到签出）反而符合框架</w:t>
            </w:r>
          </w:p>
        </w:tc>
      </w:tr>
      <w:tr w14:paraId="2AE035C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F138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1536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图书借阅九条规则（编号、目录、两跳借阅、上限 2 本可配置、借期、3 个工作日提醒、不续借、5 天冷却、超 30 天违规）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72A9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§3.2.1.2.2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F3E5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4888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0FEB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4.3.2.2、5.5 多条硬性偏离：上限改学生 3 本／教师 5 本且丢可配置、允许续借、提醒改 3 天邮件／站内信、无 5 天冷却、无编号规则；详见评审报告 P01～P04、P06、P13</w:t>
            </w:r>
          </w:p>
        </w:tc>
      </w:tr>
      <w:tr w14:paraId="33BF91C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E30F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96D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下载专区 8 类栏目与登录下载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C203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3C54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0BFE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7DBE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4.3.2.3 八类栏目与框架一致；自加分栏权限（仅博士生可见）建议标注为扩展</w:t>
            </w:r>
          </w:p>
        </w:tc>
      </w:tr>
      <w:tr w14:paraId="45FF1FA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928F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3451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用户帮助（联机帮助、索引查询）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11DF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7FE8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A2E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63C6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4.3.2.4 联机帮助＋关键词搜索；操作视频教程为扩展</w:t>
            </w:r>
          </w:p>
        </w:tc>
      </w:tr>
      <w:tr w14:paraId="5A141E8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2BDF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199A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系统管理员功能（框架允许自行设计）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7C7C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6F02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F9D7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36F4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4.3.3 用户管理＋各栏目后台维护；备份恢复以非功能需求（5.2）定义</w:t>
            </w:r>
          </w:p>
        </w:tc>
      </w:tr>
      <w:tr w14:paraId="3556C982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C3EC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F422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现有网站数据导入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39B0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5E28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B0F9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05AD5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仅 2.4、2.6 作为环境与假设提及，未落为功能需求（导入对象、格式、校验均未定义）</w:t>
            </w:r>
          </w:p>
        </w:tc>
      </w:tr>
    </w:tbl>
    <w:p w14:paraId="7D2A18C2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4　C　数据规则与校验</w:t>
      </w:r>
    </w:p>
    <w:p w14:paraId="45D2893A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依据说明：依据：Y1 §2.2 用户信息字段及校验规则；Y3 第 10～12 条。</w:t>
      </w:r>
    </w:p>
    <w:p w14:paraId="72DEF62F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2-3　C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0971D21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9EEEE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CB027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24E2E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98852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BA67B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9BCE3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4B0591C2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BAB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012C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教师信息项与校验（工号三类前缀、聘书编号与聘期、职称、导师资格、办公电话等）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962E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316B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5559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B178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无字段级定义，仅 5.5 一句“按预设格式校验合法性”；实现 validate（StaffNo、StaffNoEngagement、OfficePhone 等）已全部实现，属“做了没写”</w:t>
            </w:r>
          </w:p>
        </w:tc>
      </w:tr>
      <w:tr w14:paraId="73ED718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D98E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75157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学生信息项与学号编码规则（层次、类别、入学年份、顺序号）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98A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A084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27B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0085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未定义；实现 validate.StudentNo、StudentNoMatchCategory 已实现</w:t>
            </w:r>
          </w:p>
        </w:tc>
      </w:tr>
      <w:tr w14:paraId="019D35D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A340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A1CA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中文姓名符合《姓名登记条例（初稿）》、留学生中文名豁免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26EE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§2.2、Y3 第 12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06A1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4374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6A7A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未提；实现 validate.ChineseName 已实现</w:t>
            </w:r>
          </w:p>
        </w:tc>
      </w:tr>
      <w:tr w14:paraId="3292B3E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A94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2CCD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照片规则（2MB 上限、48mm×33mm 护照标准、在线检测）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9C3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§2.2、Y3 第 11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E632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CCBF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59CF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无对应需求；实现 validate／photo.go 与前端即时检测已实现</w:t>
            </w:r>
          </w:p>
        </w:tc>
      </w:tr>
      <w:tr w14:paraId="66009A1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D9FB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C969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电话规则（移动 11 位建议含国家代码；办公区号＋8 位、中关村前 4 位 6891／6894）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C6F9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1C7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57C5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139B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未定义</w:t>
            </w:r>
          </w:p>
        </w:tc>
      </w:tr>
      <w:tr w14:paraId="5552361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559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7711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导师、副导师应为学校全职教师（可不为本所教师）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6036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585B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348F5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5480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未提</w:t>
            </w:r>
          </w:p>
        </w:tc>
      </w:tr>
    </w:tbl>
    <w:p w14:paraId="7EC85C8D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5　D　业务规则口径与关键非功能</w:t>
      </w:r>
    </w:p>
    <w:p w14:paraId="676DCD47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依据说明：依据：Y1 §3.2、第 4 章；Y3 澄清口径。</w:t>
      </w:r>
    </w:p>
    <w:p w14:paraId="31A98775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2-4　D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2"/>
        <w:gridCol w:w="1645"/>
        <w:gridCol w:w="1180"/>
        <w:gridCol w:w="590"/>
        <w:gridCol w:w="766"/>
        <w:gridCol w:w="4105"/>
      </w:tblGrid>
      <w:tr w14:paraId="4D9C667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AAFC6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6DF09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27E84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7DF4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700B1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7DE6F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1D06574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74FA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7DCF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天数口径（图书“天”＝自然日；期满前 3 个工作日提醒）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715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§3.2.1.2.2、Y3 第 6、7 条、Y8 4.4.3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13B3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1CC2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7329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写“到期前 3 天”，未区分工作日；实现按工作日计算（workingDaysBefore），与 SRS 相反</w:t>
            </w:r>
          </w:p>
        </w:tc>
      </w:tr>
      <w:tr w14:paraId="12F7EA71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91A4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FD7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违规处理（超 30 天经确认记违规、记录不可清除、超 3 次停止借阅服务）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75DC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§3.2.1.2.2、Y3 第 8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FCC5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EB3C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77F0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为按天扣信用分、低于阈值临时限制、逾期 3 次暂停 1 个月，丢失确认制、不可清除、永久停借三个关键语义</w:t>
            </w:r>
          </w:p>
        </w:tc>
      </w:tr>
      <w:tr w14:paraId="26CEA2A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C9B6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B937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隐私保护（游客可查询；区分敏感数据；学号、姓名、邮箱、照片可公开，电话、出生日期敏感）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3E25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§3.1.8、Y3 第 10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D1A8D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0A6F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CFD7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无游客检索需求与字段可见性边界；实现学生详情仅展示学号、姓名、性别、类别、国籍、导师（符合口径）</w:t>
            </w:r>
          </w:p>
        </w:tc>
      </w:tr>
      <w:tr w14:paraId="5EE8B60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891E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7209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数据正确性高于 99％并提供检查机制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13EE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5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9E34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0E46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27E7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2.5.2、5.4.1 有指标，4.4 有校验测试描述</w:t>
            </w:r>
          </w:p>
        </w:tc>
      </w:tr>
      <w:tr w14:paraId="6ECB1890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8FD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C290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数据备份与故障恢复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6F87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6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BB46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F1FC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E41A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5.2.1、5.2.2 量化充分（每日全量、保留 30 天、RTO、RPO）</w:t>
            </w:r>
          </w:p>
        </w:tc>
      </w:tr>
      <w:tr w14:paraId="5A93771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3968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9D72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登录页体现 LOGO、系统名、著作权标志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2258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7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A5CE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508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2059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3.1 有总体界面要求，未明确登录页三要素条款；实现登录页已具备</w:t>
            </w:r>
          </w:p>
        </w:tc>
      </w:tr>
      <w:tr w14:paraId="3FB8D4A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FC37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D7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2889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设计阶段提供两种界面方案供甲方选定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0C7A9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4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83E5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C1BE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55C5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未体现；实现以“三套版式”作解释，依据不足</w:t>
            </w:r>
          </w:p>
        </w:tc>
      </w:tr>
      <w:tr w14:paraId="6239E59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8F91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D8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DDF6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中文版、浏览器兼容、二次开发与扩展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B45B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§3、第 4 章第 8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9D6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8783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6619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2.4.2、2.5.4、2.5.5 明确</w:t>
            </w:r>
            <w:bookmarkStart w:id="0" w:name="_GoBack"/>
            <w:bookmarkEnd w:id="0"/>
          </w:p>
        </w:tc>
      </w:tr>
    </w:tbl>
    <w:p w14:paraId="7BDF8655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6　E　非功能需求质量</w:t>
      </w:r>
    </w:p>
    <w:p w14:paraId="494E0AC6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依据说明：依据：Y4 3.13、3.24；Y1 第 4 章。</w:t>
      </w:r>
    </w:p>
    <w:p w14:paraId="3A557175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2-5　E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3D43198F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3178B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E65B9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1BCD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5316D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11ACD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6B9BB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7D422FB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903B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3E1D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可验证性（指标以可客观测试的方式陈述）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C7A3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 章、Y8 4.4.7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A36C7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4D5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456E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5.1～5.4 指标全部量化，符合“可定义客观测试”的陈述要求</w:t>
            </w:r>
          </w:p>
        </w:tc>
      </w:tr>
      <w:tr w14:paraId="0DE2322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6392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9162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指标可溯源到上位文档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FEA8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3.13、3.24，Y8 4.4.9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0F9D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45BD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E5BF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 w14:paraId="7213131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F216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1586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规模适配性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5647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项目背景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5BFA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AB7D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D981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与研究所真实规模（教师 17 人、在读学生约 93 人，见老师 2026-10-12 下发基础数据）不匹配的容量类指标建议降级为设计目标</w:t>
            </w:r>
          </w:p>
        </w:tc>
      </w:tr>
      <w:tr w14:paraId="78916AC2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F8622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BF7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安全性需求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BEB8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9 条引申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501A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36C6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A0CE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口令哈希、RBAC、HTTPS、限流、注入防护体系化，超出框架但属合理工程约束，建议标注为乙方自定</w:t>
            </w:r>
          </w:p>
        </w:tc>
      </w:tr>
      <w:tr w14:paraId="7B9EC4A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CCF6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7AB9D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性能与响应时间指标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16AF5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8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8B0C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B2BE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4014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 秒／2 秒／3 秒／500 毫秒数值合理，但未区分甲方要求与乙方自定</w:t>
            </w:r>
          </w:p>
        </w:tc>
      </w:tr>
      <w:tr w14:paraId="0B73571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7E1A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1ABD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范围控制（无未标注的自加功能）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4FE7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Oct 13 课件需求基线思想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2CEB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7BD2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1AF0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信用分、续借、节假日配置、出勤率、在岗时长、SMTP 邮件、下载分栏权限、论文 PDF 全文下载等自加需求均未标注来源与扩展属性</w:t>
            </w:r>
          </w:p>
        </w:tc>
      </w:tr>
    </w:tbl>
    <w:p w14:paraId="1EF0A712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7　F　一致性与协同</w:t>
      </w:r>
    </w:p>
    <w:p w14:paraId="368D71B8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依据说明：依据：Y4 3 章、5 章；Oct 13 课件阶段放行思想。</w:t>
      </w:r>
    </w:p>
    <w:p w14:paraId="2BB91597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2-6　F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050D52D1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EFB6C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55D64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28317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8F2A3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C6EB1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F79E7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6FEB482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8570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3963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与实现一致性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D0A5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 章、Y8 4.4.5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DFF0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B23B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56A4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借阅参数、签到机制、照片检测、审核角色等 SRS 与代码相反（证据：docs／需求对照表.md、internal／validate、演示账号含图书资料管理教师）；Y8 4.4.5 将同一对象不同口径列为典型不一致</w:t>
            </w:r>
          </w:p>
        </w:tc>
      </w:tr>
      <w:tr w14:paraId="47C91A9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9114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9EA2F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与测试文档一致性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BC6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4 章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FF26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F980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9335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测试文档 2.1 节第 5、7 项预期按框架字段，2.2 节第 9、10 项预期按 SRS 错误口径，实际结果又按实现描述，同一文档内两套口径</w:t>
            </w:r>
          </w:p>
        </w:tc>
      </w:tr>
      <w:tr w14:paraId="303CB5C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BB53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FED4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与设计说明书一致性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A6D0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 章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92E7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33EA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2AA6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设计说明书按框架口径（工作日提醒、冷却天数、违规上限可配置），与 SRS 冲突</w:t>
            </w:r>
          </w:p>
        </w:tc>
      </w:tr>
      <w:tr w14:paraId="35BD1AA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80A5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FBAF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术语与角色一致性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2256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B762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48F2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DABC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“管理员审核”与“图书管理教师／资料保管教师”混用；所长、图书管理教师业务角色未在 SRS 定义</w:t>
            </w:r>
          </w:p>
        </w:tc>
      </w:tr>
      <w:tr w14:paraId="1042C90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7331C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415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待定问题与假设管理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BBE7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6 章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6FC02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27FE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C459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2.6 假设依赖有，但真实数据规模、编号换算、邮件渠道等待定项未列 TBD</w:t>
            </w:r>
          </w:p>
        </w:tc>
      </w:tr>
    </w:tbl>
    <w:p w14:paraId="3ECBE1B2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8　统计与小结</w:t>
      </w:r>
    </w:p>
    <w:p w14:paraId="1C6DF487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2-7　检查结论统计（共 49 项）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88"/>
        <w:gridCol w:w="967"/>
        <w:gridCol w:w="967"/>
        <w:gridCol w:w="1230"/>
        <w:gridCol w:w="1230"/>
        <w:gridCol w:w="1406"/>
      </w:tblGrid>
      <w:tr w14:paraId="0C2BDBA0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7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E6D4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组别</w:t>
            </w:r>
          </w:p>
        </w:tc>
        <w:tc>
          <w:tcPr>
            <w:tcW w:w="5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D5479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项数</w:t>
            </w:r>
          </w:p>
        </w:tc>
        <w:tc>
          <w:tcPr>
            <w:tcW w:w="5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A9A6F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符合</w:t>
            </w:r>
          </w:p>
        </w:tc>
        <w:tc>
          <w:tcPr>
            <w:tcW w:w="7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7D2B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部分符合</w:t>
            </w:r>
          </w:p>
        </w:tc>
        <w:tc>
          <w:tcPr>
            <w:tcW w:w="7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D3FE4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不符合</w:t>
            </w:r>
          </w:p>
        </w:tc>
        <w:tc>
          <w:tcPr>
            <w:tcW w:w="8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6001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不适用</w:t>
            </w:r>
          </w:p>
        </w:tc>
      </w:tr>
      <w:tr w14:paraId="44130090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7550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A 文档结构与文档管理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17F5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9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A950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964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6555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6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E264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01A72BF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73B2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B 功能需求覆盖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581A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15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0AD2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7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8E7A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7A61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5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AB58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10F06E6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4481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C 数据规则与校验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7B813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6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054A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1ADD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A944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6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DAE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346F668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E458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D 业务规则口径与关键非功能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8BC6E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8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8935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BE32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F852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2F58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00513E7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F9B56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E 非功能需求质量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B7E2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6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0CFE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8054F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97B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19D2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2C51C51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0BA0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F 一致性与协同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3AD7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5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2C88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B65F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1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029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4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E5DA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7159D78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B3C4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合计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975C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49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7C0B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12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3D39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11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A34A0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26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852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</w:tbl>
    <w:p w14:paraId="63224372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小结：26 项不符合集中在三处——图书借阅与签到签出的业务规则偏离（B10、B11、D1、D2）、用户数据字段与校验规则整体缺失（C1～C6）、SRS 与实现及内部文档失真（F1～F3）。同时 B 组功能覆盖、D 组非功能基线表现良好，实现侧证据（需求对照表、校验代码）表明被评审团队对框架的理解是准确的，问题性质属 SRS 文本未随需求深化与实现演进同步维护。上述结论支撑评审报告给出的“部分批准”结论与修订要求。</w:t>
      </w:r>
    </w:p>
    <w:p w14:paraId="1033A001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修订历史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0"/>
        <w:gridCol w:w="879"/>
        <w:gridCol w:w="5097"/>
        <w:gridCol w:w="1582"/>
      </w:tblGrid>
      <w:tr w14:paraId="37D057E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9643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日期</w:t>
            </w:r>
          </w:p>
        </w:tc>
        <w:tc>
          <w:tcPr>
            <w:tcW w:w="5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8963E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版本</w:t>
            </w:r>
          </w:p>
        </w:tc>
        <w:tc>
          <w:tcPr>
            <w:tcW w:w="29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E1D0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9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2BB1A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作者</w:t>
            </w:r>
          </w:p>
        </w:tc>
      </w:tr>
      <w:tr w14:paraId="711BAA8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3417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2026-10-20</w:t>
            </w:r>
          </w:p>
        </w:tc>
        <w:tc>
          <w:tcPr>
            <w:tcW w:w="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C53C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V1.0</w:t>
            </w:r>
          </w:p>
        </w:tc>
        <w:tc>
          <w:tcPr>
            <w:tcW w:w="2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AAE1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会前独立核查完成 49 项判定（AI 辅助比对、评审员复核），经评审会议逐条确认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6C47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SQA2 评审组</w:t>
            </w:r>
          </w:p>
        </w:tc>
      </w:tr>
      <w:tr w14:paraId="462B4C0C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BADB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2026-10-20</w:t>
            </w:r>
          </w:p>
        </w:tc>
        <w:tc>
          <w:tcPr>
            <w:tcW w:w="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FF0E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V1.1</w:t>
            </w:r>
          </w:p>
        </w:tc>
        <w:tc>
          <w:tcPr>
            <w:tcW w:w="2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4160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增补国标核验说明与 GB/T 9385-2008 八项特性映射（Y8），A/D/E/F 组相关项依据同步标注；结论与统计不变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4F9F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刘罡甫</w:t>
            </w:r>
          </w:p>
        </w:tc>
      </w:tr>
      <w:tr w14:paraId="21E92F12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3BAD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2026-10-21</w:t>
            </w:r>
          </w:p>
        </w:tc>
        <w:tc>
          <w:tcPr>
            <w:tcW w:w="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6195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V1.2</w:t>
            </w:r>
          </w:p>
        </w:tc>
        <w:tc>
          <w:tcPr>
            <w:tcW w:w="2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7CD8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增加“已核”勾选列（49 项全部完成核查勾选），作为会议逐条确认与归档留痕依据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DCBF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SQA2 评审组</w:t>
            </w:r>
          </w:p>
        </w:tc>
      </w:tr>
    </w:tbl>
    <w:p w14:paraId="65BE8633"/>
    <w:sectPr>
      <w:headerReference r:id="rId3" w:type="default"/>
      <w:footerReference r:id="rId4" w:type="default"/>
      <w:pgSz w:w="11906" w:h="16838"/>
      <w:pgMar w:top="1440" w:right="1417" w:bottom="1440" w:left="1701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B9CC75">
    <w:pPr>
      <w:jc w:val="center"/>
    </w:pPr>
    <w:r>
      <w:rPr>
        <w:rFonts w:ascii="Times New Roman" w:eastAsia="宋体"/>
        <w:color w:val="888888"/>
        <w:sz w:val="18"/>
        <w:szCs w:val="18"/>
      </w:rPr>
      <w:fldChar w:fldCharType="begin"/>
    </w:r>
    <w:r>
      <w:rPr>
        <w:rFonts w:ascii="Times New Roman" w:eastAsia="宋体"/>
        <w:color w:val="888888"/>
        <w:sz w:val="18"/>
        <w:szCs w:val="18"/>
      </w:rPr>
      <w:instrText xml:space="preserve"> PAGE \* arabic \* MERGEFORMAT </w:instrText>
    </w:r>
    <w:r>
      <w:rPr>
        <w:rFonts w:ascii="Times New Roman" w:eastAsia="宋体"/>
        <w:color w:val="888888"/>
        <w:sz w:val="18"/>
        <w:szCs w:val="18"/>
      </w:rPr>
      <w:fldChar w:fldCharType="separate"/>
    </w:r>
    <w:r>
      <w:rPr>
        <w:rFonts w:ascii="Times New Roman" w:eastAsia="宋体"/>
        <w:color w:val="888888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FAD7EE">
    <w:pPr>
      <w:pBdr>
        <w:bottom w:val="single" w:color="BBBBBB" w:sz="2" w:space="4"/>
      </w:pBdr>
      <w:jc w:val="center"/>
    </w:pPr>
    <w:r>
      <w:rPr>
        <w:rFonts w:ascii="Times New Roman" w:eastAsia="宋体"/>
        <w:color w:val="999999"/>
        <w:sz w:val="16"/>
        <w:szCs w:val="16"/>
      </w:rPr>
      <w:t>需求评审检查表（SQA2）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4480C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eastAsia="宋体"/>
      <w:color w:val="000000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160" w:line="312" w:lineRule="auto"/>
      <w:outlineLvl w:val="0"/>
    </w:pPr>
    <w:rPr>
      <w:rFonts w:ascii="Times New Roman" w:eastAsia="黑体"/>
      <w:b/>
      <w:bCs/>
      <w:color w:val="0B1C2C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 w:line="312" w:lineRule="auto"/>
      <w:outlineLvl w:val="1"/>
    </w:pPr>
    <w:rPr>
      <w:rFonts w:ascii="Times New Roman" w:eastAsia="黑体"/>
      <w:b/>
      <w:bCs/>
      <w:color w:val="0B1C2C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00" w:line="312" w:lineRule="auto"/>
      <w:outlineLvl w:val="2"/>
    </w:pPr>
    <w:rPr>
      <w:rFonts w:ascii="Times New Roman" w:eastAsia="黑体"/>
      <w:b/>
      <w:bCs/>
      <w:color w:val="0B1C2C"/>
      <w:sz w:val="24"/>
      <w:szCs w:val="24"/>
    </w:rPr>
  </w:style>
  <w:style w:type="paragraph" w:styleId="5">
    <w:name w:val="heading 4"/>
    <w:next w:val="1"/>
    <w:qFormat/>
    <w:uiPriority w:val="0"/>
    <w:pPr>
      <w:spacing w:line="312" w:lineRule="auto"/>
    </w:pPr>
    <w:rPr>
      <w:rFonts w:ascii="Times New Roman" w:eastAsia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12" w:lineRule="auto"/>
    </w:pPr>
    <w:rPr>
      <w:rFonts w:ascii="Times New Roman" w:eastAsia="宋体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12" w:lineRule="auto"/>
    </w:pPr>
    <w:rPr>
      <w:rFonts w:ascii="Times New Roman" w:eastAsia="宋体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10">
    <w:name w:val="Title"/>
    <w:qFormat/>
    <w:uiPriority w:val="0"/>
    <w:pPr>
      <w:spacing w:line="312" w:lineRule="auto"/>
    </w:pPr>
    <w:rPr>
      <w:rFonts w:ascii="Times New Roman" w:eastAsia="宋体"/>
      <w:color w:val="000000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12" w:lineRule="auto"/>
    </w:pPr>
    <w:rPr>
      <w:rFonts w:ascii="Times New Roman" w:eastAsia="宋体"/>
      <w:color w:val="000000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133</Words>
  <Characters>159</Characters>
  <TotalTime>17</TotalTime>
  <ScaleCrop>false</ScaleCrop>
  <LinksUpToDate>false</LinksUpToDate>
  <CharactersWithSpaces>244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2026-10-20T16:16:00Z</dcterms:created>
  <dc:creator>Un-named</dc:creator>
  <cp:lastModifiedBy>WPS_1508629963</cp:lastModifiedBy>
  <dcterms:modified xsi:type="dcterms:W3CDTF">2026-10-21T03:36:06Z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eyJoZGlkIjoiMTAxZTY3NzVhZmI5MDM4MTNkZWIxZmM1YmIyYzJiMzUiLCJ1c2VySWQiOiIzMTU1MTc3OTAifQ==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639AB5198C714C339ED88438EBC3090F_12</vt:lpwstr>
  </property>
</Properties>
</file>