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网络攻防对抗技术研究所管理系统</w:t>
      </w:r>
    </w:p>
    <w:p>
      <w:pPr>
        <w:jc w:val="center"/>
      </w:pPr>
      <w:r>
        <w:rPr>
          <w:rFonts w:ascii="黑体" w:hAnsi="黑体" w:eastAsia="黑体"/>
          <w:b/>
          <w:sz w:val="60"/>
        </w:rPr>
        <w:t>系统设计说明书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（概要设计 · 详细设计 · 数据库 · 接口 · UI）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文档编号：SQA2-SDD-20261018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编制单位：SQA2 团队（北京盾阵科技有限公司）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编制：陈彬（统稿，吸收杨峥/韦政治初稿）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编制日期：2026-10-18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技术基线：接口规范 v1.0（2026-10-17 12:00 冻结）</w:t>
      </w:r>
    </w:p>
    <w:p>
      <w:r>
        <w:br w:type="page"/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修订历史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82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484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修订内容</w:t>
            </w:r>
          </w:p>
        </w:tc>
        <w:tc>
          <w:tcPr>
            <w:tcW w:type="dxa" w:w="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编制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审核</w:t>
            </w:r>
          </w:p>
        </w:tc>
      </w:tr>
      <w:tr>
        <w:tc>
          <w:tcPr>
            <w:tcW w:type="dxa" w:w="8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484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首次统稿：整合后端设计初稿（韦政治）与前端实现（刘罡甫/钟坤宇），补借阅状态机、校验引擎、UI 两方案记录与部署设计</w:t>
            </w:r>
          </w:p>
        </w:tc>
        <w:tc>
          <w:tcPr>
            <w:tcW w:type="dxa" w:w="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1237"/>
          </w:tcPr>
          <w:p>
            <w:r>
              <w:t>已审核（组长）</w:t>
            </w:r>
          </w:p>
        </w:tc>
      </w:tr>
    </w:tbl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说明：本文件以代码仓库 main 分支实现与接口规范 v1.0 为依据；凡设计初稿与实际代码不一致处，以代码为准并在文中说明。接口字段不在本文重复罗列，引用《接口规范_SQA2_20261016.md》v1.0，避免双源漂移。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（请在 Word 中右键更新域）</w:t>
        <w:fldChar w:fldCharType="end"/>
      </w:r>
    </w:p>
    <w:p>
      <w:r>
        <w:br w:type="page"/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1  引言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1.1  编写目的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本文档说明系统的总体架构、模块划分、数据库、接口、界面与部署设计，回答“如何实现第 1 章需求”的问题。读者包括：乙方开发与测试人员、甲方验收人员、课程评审小组、后续维护与二次开发人员。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1.2  设计范围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覆盖门户、注册用户端、管理后台的全部模块：认证与权限、用户档案与校验、门户内容、图书借阅、下载与帮助、批量导入、备份恢复。不覆盖第三方框架内部实现与生产环境网络拓扑。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1.3  设计依据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6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41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依据</w:t>
            </w:r>
          </w:p>
        </w:tc>
        <w:tc>
          <w:tcPr>
            <w:tcW w:type="dxa" w:w="430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需求规格说明书_SQA2.docx V1.0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设计输入与追踪目标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接口规范_SQA2_20261016.md v1.0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路由、字段、错误码、时间格式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需求框架 V3.3.1 与 2026-10-11 澄清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业务规则与口径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后端核心设计与运行说明（韦政治初稿，2026-10-17）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后端架构、数据库、导入与备份章节基础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前端工程（Vue 3 + Vite）与路由表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页面与 UI 方案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质量计划 V1.1、评审检查表 R2（设计，17 项）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设计评审自检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1.4  术语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沿用《需求规格说明书》1.4 节术语。本文另用：SPA（单页应用）、令牌（Bearer Token）、逻辑快照（JSON 形式的受控备份）、两跳借阅、冷却期、停借、工作日/自然日双口径。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2  系统架构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2.1  总体架构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系统采用前后端分离的 B/S 架构。浏览器加载 Vue 3 单页应用，所有数据经 /api/v1 的 REST 接口获取；后端为 Spring Boot 单体应用，按业务域分包；数据库为 MySQL 8，开发与自动化测试使用 H2 兼容模式；上传与备份文件存放于服务端受控目录，不通过静态服务器直接暴露私有媒体。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层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组成</w:t>
            </w:r>
          </w:p>
        </w:tc>
        <w:tc>
          <w:tcPr>
            <w:tcW w:type="dxa" w:w="385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职责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表示层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3 + Vite + Vue Router + Pinia + Element Plus + Axios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页面渲染、表单校验提示、路由守卫、统一响应解包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接口层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 MVC Controller（/api/v1）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参数绑定、权限入口、统一响应封装 Api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认证层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WebConfig 拦截器 + Access + auth_sessions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令牌解析、当前用户注入、角色/标记位校验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业务层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auth/portal/library/validation/admin/backup 的 Service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业务规则、事务、状态流转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数据层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MyBatis-Plus AccountMapper + JdbcTemplate/Db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账号映射、通用 SQL、备份快照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存储层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8（生产）/ H2（测试）；runtime 目录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结构化数据、媒体文件、备份文件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2-1  系统分层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一次受保护请求的调用链：浏览器携带 Authorization: Bearer &lt;token&gt; → 拦截器计算令牌摘要并查询 auth_sessions → 注入 CurrentUser → Controller 调用 Access.user()/admin()/librarian() → Service 执行业务 → Api.ok(data) 输出。异常统一由 Errors 捕获 ApiException，转换为与 code 同号的 HTTP 状态。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2.2  包结构与职责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包</w:t>
            </w:r>
          </w:p>
        </w:tc>
        <w:tc>
          <w:tcPr>
            <w:tcW w:type="dxa" w:w="430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关键类</w:t>
            </w:r>
          </w:p>
        </w:tc>
        <w:tc>
          <w:tcPr>
            <w:tcW w:type="dxa" w:w="351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职责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common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Api、ApiException、Errors、Db、Json、JacksonConfig、OpenApiConfig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统一响应、异常映射、JDBC 封装、时间格式、OpenAPI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AuthController、AuthService、Access、CurrentUser、AccountMapper、Bootstrap、WebConfig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登录/登出/改密、令牌、角色与标记位、初始管理员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portal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PortalController、ContentService、MediaService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门户查询、内容聚合、媒体上传与私有存储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validation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ProfileValidator、CoreProfileValidator、FullProfileValidator、ValidationController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档案校验、预检接口、照片检测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library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LibraryController、LibraryAdminController、BookService、BorrowService、LibraryConfigService、LibraryScheduler、NotificationService、DownloadService、HelpService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图书、借阅、提醒、违规、下载、帮助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UserController、UserService、ImportController、ImportService、SigninController、TabularReader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用户管理、批量导入、签到统计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BackupController、BackupService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逻辑备份、恢复、定时备份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2-2  后端包结构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2.3  部署拓扑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生产/演示部署为单机三进程：Nginx（或 Spring Boot 静态资源）提供前端构建产物；Spring Boot 监听 8080 提供 API；MySQL 8 监听 3306。备份与媒体位于应用工作目录 runtime/ 下。开发环境为 Vite 5173 + Spring Boot 8080，通过 CORS 白名单放行本机前端地址。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96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环境</w:t>
            </w:r>
          </w:p>
        </w:tc>
        <w:tc>
          <w:tcPr>
            <w:tcW w:type="dxa" w:w="245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前端</w:t>
            </w:r>
          </w:p>
        </w:tc>
        <w:tc>
          <w:tcPr>
            <w:tcW w:type="dxa" w:w="23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后端</w:t>
            </w:r>
          </w:p>
        </w:tc>
        <w:tc>
          <w:tcPr>
            <w:tcW w:type="dxa" w:w="170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数据库</w:t>
            </w:r>
          </w:p>
        </w:tc>
        <w:tc>
          <w:tcPr>
            <w:tcW w:type="dxa" w:w="16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访问方式</w:t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开发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Vite dev server :5173</w:t>
            </w:r>
          </w:p>
        </w:tc>
        <w:tc>
          <w:tcPr>
            <w:tcW w:type="dxa" w:w="23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spring-boot:run :8080</w:t>
            </w:r>
          </w:p>
        </w:tc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H2 文件模式或 MySQL 8</w:t>
            </w:r>
          </w:p>
        </w:tc>
        <w:tc>
          <w:tcPr>
            <w:tcW w:type="dxa" w:w="16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浏览器 http://localhost:5173</w:t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MockMvc（无前端）</w:t>
            </w:r>
          </w:p>
        </w:tc>
        <w:tc>
          <w:tcPr>
            <w:tcW w:type="dxa" w:w="23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Spring Boot Test</w:t>
            </w:r>
          </w:p>
        </w:tc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H2 MODE=MySQL</w:t>
            </w:r>
          </w:p>
        </w:tc>
        <w:tc>
          <w:tcPr>
            <w:tcW w:type="dxa" w:w="16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mvn test</w:t>
            </w:r>
          </w:p>
        </w:tc>
      </w:tr>
      <w:tr>
        <w:tc>
          <w:tcPr>
            <w:tcW w:type="dxa" w:w="96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演示/生产</w:t>
            </w:r>
          </w:p>
        </w:tc>
        <w:tc>
          <w:tcPr>
            <w:tcW w:type="dxa" w:w="24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npm run build 产物由 Nginx 托管</w:t>
            </w:r>
          </w:p>
        </w:tc>
        <w:tc>
          <w:tcPr>
            <w:tcW w:type="dxa" w:w="23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java -jar 或 spring-boot:run :8080</w:t>
            </w:r>
          </w:p>
        </w:tc>
        <w:tc>
          <w:tcPr>
            <w:tcW w:type="dxa" w:w="17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MySQL 8（utf8mb4）</w:t>
            </w:r>
          </w:p>
        </w:tc>
        <w:tc>
          <w:tcPr>
            <w:tcW w:type="dxa" w:w="16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域名或服务器 IP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2-3  部署拓扑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3  模块设计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3.1  认证与权限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登录成功后服务端生成 32 字节安全随机令牌，仅将 SHA-256 摘要写入 auth_sessions，默认有效期 12 小时；密码使用 BCrypt 哈希存储。首次启动必须通过 BOOTSTRAP_PASSWORD 配置初始管理员密码，不设默认弱口令。登录即写入签到记录（signin_logs.token_hash 唯一），登出写 signout_at；改密、管理员重置密码、停用账号均使相关令牌失效。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角色/标记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判定方式</w:t>
            </w:r>
          </w:p>
        </w:tc>
        <w:tc>
          <w:tcPr>
            <w:tcW w:type="dxa" w:w="430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允许范围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无令牌或令牌无效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公开查询接口与公开媒体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注册用户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有效令牌且 role=user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本人档案、借阅、提醒、下载、帮助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系统管理员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role=admin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用户、内容、导入、备份；不自动获得图书权限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图书管理教师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isLibrarian=true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图书维护、借阅审核、归还、违规确认、参数配置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所长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isDirector=true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签到统计 scope=all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全职教师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teacherType=full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签到统计 scope=mine（本人名下学生）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3-1  权限模型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权限判断集中在 Access：user() 要求登录，admin() 要求 role=admin，librarian() 要求 isLibrarian。越权返回 403；访问他人资源返回 404，避免泄露资源是否存在。删除用户采用停用（active=false）并保留历史，禁止移除最后一名有效管理员。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3.2  用户档案与校验引擎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校验引擎以 ProfileValidator 为唯一扩展点：接口定义 void validate(Map&lt;String,Object&gt; fields)；CoreProfileValidator 以 @ConditionalOnMissingBean 提供基础检查；FullProfileValidator 标 @Primary 实现完整规则，内部复用基础检查。调用点只有 UserService.save()，批量导入 ImportService 通过 users.save() 复用，因此保存、导入、预检三条路径规则一致。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规则</w:t>
            </w:r>
          </w:p>
        </w:tc>
        <w:tc>
          <w:tcPr>
            <w:tcW w:type="dxa" w:w="532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实现要点</w:t>
            </w:r>
          </w:p>
        </w:tc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失败表现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教师工号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位数字；前缀 61201/72201/74201；三种均为全职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fields.employeeNo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教师类别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 full/external；第三值拒绝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fields.teacherType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校外兼职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工号必须为空；聘书编号与聘期必填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对应字段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学生学号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 位分段校验：层次/类别/入学年份/顺序号；唯一性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或 409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中文姓名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仅汉字与间隔符“·”；长度取配置 2～15；nameExempt 豁免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fields.name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移动/办公电话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移动 11 位＋可选国家码；办公 3 位区号＋8 位、前 4 位 6891/6894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fields.mobile/officePhone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邮箱/出生日期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含 @ 的基本格式；YYYY-MM-DD 合法性；允许缺失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对应字段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照片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≤2MB、可解码、宽高比 33:48 必检；背景/着装仅给建议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422 sizeOk/ratioOk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3-2  校验规则实现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保存失败时 data.fields 仅包含本次提交涉及的字段，不回显无关敏感字段。前端 /validate 仅作体验性预检，服务端保存与导入路径强制同规则，绕过前端无法写入非法数据。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3.3  门户与内容管理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门户内容统一存放于 portal_content：content_type 区分 news/achievements/courses/projects/admissions/cooperations/about，category 区分栏目子类，data_json 保存类型相关字段，source_key 保证导入幂等。公开接口只输出白名单字段，电话、出生日期、私人备注、密码与原始导入行不进入响应。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首页聚合接口 /home/summary 返回最新动态与通知数量，前端每分钟轮询并在窗口聚焦时立即刷新，满足“动态实时更新”；站点名称、英文名、LOGO、版权与外链通过部署配置注入，登录页与页脚共用，不设管理端接口。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3.4  图书借阅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借阅采用“申请—审核—登记借出—归还”两跳流程。申请写入 borrow_requests（pending），图书管理教师审核通过后生成 borrows（request_id 唯一），应还日期 due_at＝借出时间＋loan_days（默认 30 自然日）；驳回写 review_note。归还登记写 returned_at 与 returned_by，并更新 books.last_returned_at 作为冷却期起点。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4"/>
        </w:rPr>
        <w:t>3.4.1 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对象</w:t>
            </w:r>
          </w:p>
        </w:tc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当前状态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事件</w:t>
            </w:r>
          </w:p>
        </w:tc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下一状态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副作用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borrow_requests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审核通过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approved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生成借阅记录、request_id 唯一约束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borrow_requests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审核驳回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rejected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 review_note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borrows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在借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到期未还且当前时间 &gt; due_at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已超期（查询态）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不新增记录，按 due_at 判定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borrows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在借/已超期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归还登记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已归还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写 returned_at/returned_by，更新图书归还时间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variants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超 30 自然日未还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violations.pending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生成候选并提醒图书管理教师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violations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pending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图书管理教师确认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写 confirmed_by/at；累计次数用于停借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violations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pending/confirmed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无删除操作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接口不提供 DELETE，记录永久保留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3-3  借阅与违规状态迁移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4"/>
        </w:rPr>
        <w:t>3.4.2  规则执行顺序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申请时按固定顺序校验，命中即返回 409 并写明规则与当前值，避免一次请求暴露多条规则细节：①图书存在且可借 → ②同一册无未归还记录 → ③同一图书无重复 pending 申请 → ④已确认违规次数 ≤3（第 4 次起停借）→ ⑤当前在借数 &lt; maxBorrow → ⑥距该书 last_returned_at ≥5 自然日。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4"/>
        </w:rPr>
        <w:t>3.4.3  定时扫描与提醒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LibraryScheduler 每日 01:30（Asia/Shanghai，可由 LIBRARY_SCAN_CRON 覆盖）执行一次扫描：对未归还借阅计算应还日，若当前日期进入“应还日前 3 个工作日”窗口，向借阅人与图书管理教师生成站内提醒；若逾期超过 30 自然日且尚无违规记录，生成 violations.pending 并提醒图书管理教师。提醒与候选均以 dedup_key 唯一约束去重，重复扫描不会重复写入。工作日计算排除周六周日与 LIBRARY_HOLIDAYS 配置的日期。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4"/>
        </w:rPr>
        <w:t>3.4.4  参数配置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library_config 为单行表，字段 max_borrow（默认 2）、loan_days（默认 30）、remind_before_workdays（默认 3）。图书管理教师可经 GET/PUT /admin/library/config 修改，修改即时生效，无需重启（F-03 可配置）。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3.5  下载专区与用户帮助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下载资料按 8 类存放：开题、中期、答辩、学位论文、专利、会议、上级文件、其他。文件先经 MediaService 上传为私有媒体，downloads 记录分类、标题、media_id 与排序；下载接口校验登录后流式返回，不暴露静态直链。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用户帮助由 HelpService 提供 6 条内置条目，并与 help_entries 表按 (category,title) 合并；GET /help?keyword= 支持标题与正文检索，返回条目树。帮助内容随交付版用户手册维护，不设管理端 CRUD，避免手册与系统双源漂移。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3.6  批量导入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导入适配老师下发的 9 份 xlsx。TabularReader 读取 CSV（UTF-8）与 XLSX（取缓存计算结果，不执行公式或外部链接）；每行独立事务，失败行不拖垮整个文件；source_import_rows 以 source_key（工作表＋行号＋内容指纹）记录状态与原因，重复导入按 source_key 幂等跳过。导入结果逐行返回 {row, ok, reason}，失败行如实统计。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数据</w:t>
            </w:r>
          </w:p>
        </w:tc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有效行</w:t>
            </w:r>
          </w:p>
        </w:tc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入库</w:t>
            </w:r>
          </w:p>
        </w:tc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隔离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主要原因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教师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工号 75202 前缀不符合现行规则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956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313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643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学号前缀 34/22 及历史 8 位学号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562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562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B001 风格编号换算为 7 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73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69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借阅人无法唯一匹配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论文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855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837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论文题目为空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专利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207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207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项目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102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102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授课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教材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合计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2806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2140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666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原始行全部保留，可查 /admin/import/rows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3-4  基础数据导入统计（2026-10-17 实测）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隔离数据不代表永久丢弃：管理员可按状态查看原因，补充口径后重新导入。不擅自修改编码规则，也不伪造人员。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3.7  备份与恢复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备份为受控逻辑快照（JSON）：包含格式版本、20 张业务表（不含令牌会话 auth_sessions）与媒体文件清单，存于 runtime/backups，文件名带时间戳；每日 02:00 自动执行（BACKUP_CRON 可覆盖），管理员也可立即备份。备份含敏感数据与密码哈希，不进入 Git 仓库，交付期不自动删除。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恢复必须上传本系统格式快照并携带 confirm=true：先校验格式版本、表集合与字段集合、有效管理员数量、媒体大小，并在恢复前另存当前快照；数据库恢复在单事务中执行，失败回滚；媒体写入新文件名避免覆盖；成功后清空 auth_sessions，强制所有用户重新登录。上传上限 50MB，超出需调整配置或改用离线恢复工具。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4  数据库设计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4.1  实体关系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核心关系：users 与 teachers、students 均为一对一（user_id 唯一）；students.advisor_user_id 可空，导师允许不属于本研究所，因此同时保存 advisor_name 与 advisor_employee_no，按“用户 ID → 工号 → 姓名”优先匹配；borrow_requests 与 borrows 一对一（request_id 唯一）；borrows 与 violations 一对一（borrow_id 唯一）；downloads 关联 media_files；portal_content 通过 content_type/category 组织各栏目。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4.2  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分组</w:t>
            </w:r>
          </w:p>
        </w:tc>
        <w:tc>
          <w:tcPr>
            <w:tcW w:type="dxa" w:w="442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表名</w:t>
            </w:r>
          </w:p>
        </w:tc>
        <w:tc>
          <w:tcPr>
            <w:tcW w:type="dxa" w:w="328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账号人员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users、teachers、students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账号与角色标记；教师工号/类别/聘书；学生学号/状态/导师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认证签到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auth_sessions、signin_logs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令牌摘要与有效期；签到签出（token_hash 唯一）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图书借阅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books、borrow_requests、borrows、violations、library_config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图书目录与归还时间；申请；借阅；违规；参数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内容资料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theses、patents、projects、courses、textbooks、portal_content、media_files、downloads、help_entries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成果数据、门户内容、媒体、下载、帮助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提醒留痕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notifications、source_import_rows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站内提醒（dedup_key 唯一）；导入行级状态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4-1  数据库表清单（21 张）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4.3  关键约束与索引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约束</w:t>
            </w:r>
          </w:p>
        </w:tc>
        <w:tc>
          <w:tcPr>
            <w:tcW w:type="dxa" w:w="51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作用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users.username UNIQUE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登录名唯一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teachers.user_id UNIQUE、employee_no UNIQUE、UNIQUE(user_id, appointment_no)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一人一档案；工号唯一；校外兼职按聘书编号判重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students.user_id UNIQUE、student_no UNIQUE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一人一档案；学号唯一（B-03）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books.code UNIQUE、legacy_code UNIQUE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 位新编号唯一；保留原编号用于追溯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borrows.request_id UNIQUE、source_key UNIQUE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一次申请只生成一条借阅；导入幂等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violations.borrow_id UNIQUE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同一借阅只记一次违规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notifications.dedup_key UNIQUE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提醒去重，重复扫描不重复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help_entries UNIQUE(category,title)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内置条目与表合并时不重复</w:t>
            </w:r>
          </w:p>
        </w:tc>
      </w:tr>
      <w:tr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各表 user_id/book_id 外键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引用完整性；删除用户采用停用而非物理删除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4-2  关键约束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4.4  初始化与迁移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schema.sql 使用 CREATE TABLE IF NOT EXISTS，MySQL 8 与 H2 共用；重启不清库。新增表或字段须由数据库负责人（韦政治）评审后写入，并同步 BackupService.TABLES 与 CoreIntegrationTest 的清库逻辑，避免备份缺表与测试污染。基础数据初始化由 import_baseline.py 经管理员 API 写入，不把老师原始材料复制进仓库。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5  接口设计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5.1  通用约定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</w:t>
            </w:r>
          </w:p>
        </w:tc>
        <w:tc>
          <w:tcPr>
            <w:tcW w:type="dxa" w:w="737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约定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基础路径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/api/v1；前端只经 API 取数，禁止直连数据库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&lt;token&gt;；登录即签到、登出即签出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响应包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{code, message, data}；code=0 成功；HTTP 状态与 code 同号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分页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?page=1&amp;page_size=20；data={items,total,page,page_size}，单页上限 200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字段错误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422，data.fields 为字段名到原因的映射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时间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YYYY-MM-DD HH:mm；纯日期 YYYY-MM-DD；时区 Asia/Shanghai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multipart/form-data，单文件上限 50MB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5-1  接口通用约定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5.2 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模块</w:t>
            </w:r>
          </w:p>
        </w:tc>
        <w:tc>
          <w:tcPr>
            <w:tcW w:type="dxa" w:w="635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代表接口</w:t>
            </w:r>
          </w:p>
        </w:tc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权限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认证与账号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/auth/login、/auth/logout、GET /auth/me、PUT /me/profile、POST /me/photo、PUT /me/password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公开/user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首页与门户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/site/info、/home/summary、/news、/news/{id}、/about、/teachers、/students、/achievements、/courses、/projects、/admissions、/cooperations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图书借阅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/books、POST /books/{id}/borrow-requests、GET /me/borrows；GET /admin/borrow-requests、POST approve/reject、GET /admin/borrows、POST /admin/borrows/{id}/return、GET/PUT /admin/library/config、GET /admin/violations、POST /admin/violations、GET /me/violations、POST/PUT/DELETE /admin/books、/admin/books/import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user/librarian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下载帮助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 /downloads、/downloads/{id}/file、/notifications、PUT /notifications/{id}/read、/help；POST/PUT/DELETE /admin/downloads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user/admin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用户管理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GET/POST/PUT/DELETE /admin/users、POST /admin/users/import、GET /stats/signin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admin/director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内容管理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POST/PUT/DELETE /admin/content/{type}、POST /admin/media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校验照片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/validate、POST /photos/check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user/admin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备份恢复</w:t>
            </w:r>
          </w:p>
        </w:tc>
        <w:tc>
          <w:tcPr>
            <w:tcW w:type="dxa" w:w="635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 /admin/backup、GET /admin/backups、POST /admin/restore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5-2  接口清单（字段级定义见接口规范 v1.0 §3）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5.3  鉴权矩阵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模块</w:t>
            </w:r>
          </w:p>
        </w:tc>
        <w:tc>
          <w:tcPr>
            <w:tcW w:type="dxa" w:w="110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游客</w:t>
            </w:r>
          </w:p>
        </w:tc>
        <w:tc>
          <w:tcPr>
            <w:tcW w:type="dxa" w:w="121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注册用户</w:t>
            </w:r>
          </w:p>
        </w:tc>
        <w:tc>
          <w:tcPr>
            <w:tcW w:type="dxa" w:w="121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管理员</w:t>
            </w:r>
          </w:p>
        </w:tc>
        <w:tc>
          <w:tcPr>
            <w:tcW w:type="dxa" w:w="143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图书管理教师</w:t>
            </w:r>
          </w:p>
        </w:tc>
        <w:tc>
          <w:tcPr>
            <w:tcW w:type="dxa" w:w="121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所长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门户查询/公开检索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本人档案/照片/改密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借阅申请与本人记录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图书维护与借阅审核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违规确认与参数配置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用户/内容/导入/备份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签到统计 scope=all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✓</w:t>
            </w:r>
          </w:p>
        </w:tc>
      </w:tr>
      <w:tr>
        <w:tc>
          <w:tcPr>
            <w:tcW w:type="dxa" w:w="2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签到统计 scope=mine</w:t>
            </w:r>
          </w:p>
        </w:tc>
        <w:tc>
          <w:tcPr>
            <w:tcW w:type="dxa" w:w="11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43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21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全职教师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5-3  鉴权矩阵（管理员不自动获得图书管理权限）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5.4 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13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code</w:t>
            </w:r>
          </w:p>
        </w:tc>
        <w:tc>
          <w:tcPr>
            <w:tcW w:type="dxa" w:w="28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  <w:tc>
          <w:tcPr>
            <w:tcW w:type="dxa" w:w="51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典型场景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正常返回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参数错误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缺字段、类型不符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未登录/令牌失效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未带令牌、改密后旧令牌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无权限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admin 访问 /admin/borrows、普通用户查他人档案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404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不存在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图书/借阅/提醒 ID 不存在或不属于本人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409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业务冲突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超上限、冷却期、停借、重复申请、重复审核/归还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422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字段校验失败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工号/学号/姓名/电话/照片不合格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服务器错误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未预期异常，返回统一文案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5-4  错误码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6  界面设计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6.1  设计原则与视觉规范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一致性：门户、个人中心、管理后台共用 Element Plus 组件与色彩变量，表格、表单、分页交互一致。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品牌：登录页与页脚展示研究所 LOGO、中英文名称、版权与著作权标志（C-03）；门户首页保留照片墙/流媒体位。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可达性：导航层级不超过三级，表单错误就地提示，危险操作二次确认。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响应式：面向 1366×768 及以上桌面分辨率；不要求移动端原生布局。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6.2  两种 UI 方案记录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按需求框架第 4 章第 4 条与合同附件1 C-02，设计阶段提供两种界面方案供甲方选定。项目组于 2026-10-17 完成方案比较与选型，记录如下。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维度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方案 A：统一组件骨架</w:t>
            </w:r>
          </w:p>
        </w:tc>
        <w:tc>
          <w:tcPr>
            <w:tcW w:type="dxa" w:w="385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方案 B：定制视觉原型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总体思路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以 Element Plus 为统一组件库，门户与后台共享布局、表格、表单与主题变量；LOGO、首页大图、照片墙作为品牌位单独设计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门户采用定制插画/大图与手写风格组件，管理后台另做一套表格与表单样式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一致性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高：组件与交互统一，页面间切换无割裂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中：门户视觉突出，但与后台风格差异较大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开发成本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低：复用组件，5 人 3 天冲刺可完成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高：需单独设计并实现两套组件，工期风险大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可维护性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高：升级组件库即可获得修复；样式集中在主题文件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低：定制样式分散，后续维护成本高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演示效果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良：整洁、专业，符合研究所门户定位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优：视觉冲击强，但需设计资源与走查时间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风险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页面辨识度依赖品牌位设计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进度与一致性风险，可能影响 F-01 可运行底线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结论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采用（实施中）</w:t>
            </w:r>
          </w:p>
        </w:tc>
        <w:tc>
          <w:tcPr>
            <w:tcW w:type="dxa" w:w="385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不采用，作为备选记录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6-1  两种 UI 方案对比与选型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选型结论：采用方案 A。理由：交付窗口仅 3 天，方案 A 能在保证门户完整性与后台可用性的前提下降低集成风险；门户的品牌识别通过 LOGO、首页主视觉与照片墙补足。方案 B 的视觉素材与对比记录保留在本表，供甲方评审与后续二期参考。该记录同时满足合同附件1 C-02“设计阶段提供两种界面方案及选定记录”的验收要求。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6.3  页面清单与路由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7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路由</w:t>
            </w:r>
          </w:p>
        </w:tc>
        <w:tc>
          <w:tcPr>
            <w:tcW w:type="dxa" w:w="187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页面</w:t>
            </w:r>
          </w:p>
        </w:tc>
        <w:tc>
          <w:tcPr>
            <w:tcW w:type="dxa" w:w="385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  <w:tc>
          <w:tcPr>
            <w:tcW w:type="dxa" w:w="156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状态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LOGO、中英文名、动态消息、通知数、三外链、页脚版权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/login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登录页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LOGO、系统名、著作权标志、演示账号提示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/about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关于我们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研究所简介、联系我们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/news、/news/:id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动态消息与详情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三子栏目、图文/流媒体/附件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/teachers、/teachers/:id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师资列表与详情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全职/兼职分类，脱敏展示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/students、/students/:id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学生列表与详情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在读/毕业/结业肄业三态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/teaching、/research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教学科研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课程信息、项目信息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/achievements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研究成果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教学 4 类＋科研 4 类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/admissions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招生信息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本科/硕士/博士/留学生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/cooperations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国际合作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大学/企业、国家、合作项目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/me/*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注册用户端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签到、借阅、下载、帮助、提醒（子路由）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路由预留，页面由前端成员实现</w:t>
            </w:r>
          </w:p>
        </w:tc>
      </w:tr>
      <w:tr>
        <w:tc>
          <w:tcPr>
            <w:tcW w:type="dxa" w:w="177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/admin/*</w:t>
            </w:r>
          </w:p>
        </w:tc>
        <w:tc>
          <w:tcPr>
            <w:tcW w:type="dxa" w:w="187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管理后台</w:t>
            </w:r>
          </w:p>
        </w:tc>
        <w:tc>
          <w:tcPr>
            <w:tcW w:type="dxa" w:w="385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用户、内容、图书、借阅、违规、下载、备份（子路由）</w:t>
            </w:r>
          </w:p>
        </w:tc>
        <w:tc>
          <w:tcPr>
            <w:tcW w:type="dxa" w:w="156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路由预留，页面由前端成员实现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6-2  页面清单与路由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7  安全与隐私设计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7.1  字段可见性矩阵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8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</w:t>
            </w:r>
          </w:p>
        </w:tc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游客/公开页</w:t>
            </w:r>
          </w:p>
        </w:tc>
        <w:tc>
          <w:tcPr>
            <w:tcW w:type="dxa" w:w="198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本人</w:t>
            </w:r>
          </w:p>
        </w:tc>
        <w:tc>
          <w:tcPr>
            <w:tcW w:type="dxa" w:w="198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管理员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学号、姓名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邮箱、照片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移动电话、办公电话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出生日期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私人备注、原始导入行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可见</w:t>
            </w:r>
          </w:p>
        </w:tc>
      </w:tr>
      <w:tr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密码哈希、令牌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不返回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7-1  字段可见性矩阵（服务端白名单组装）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脱敏在服务端完成：列表与详情接口对有权限的角色直接不返回敏感字段，而不是“返回后由前端隐藏”。前端隐藏仅用于界面呈现，不构成安全边界。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7.2  越权与输入防护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每个受保护接口在 Controller 首行调用 Access，权限判断不依赖前端路由守卫。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普通用户不得修改 role、isDirector、isLibrarian、identity_type 等字段，服务端拒绝批量赋值提权。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访问他人借阅、提醒、违规记录返回 404；管理员访问图书域返回 403。</w:t>
      </w:r>
    </w:p>
    <w:p>
      <w:pPr>
        <w:spacing w:after="60" w:line="312" w:lineRule="auto"/>
        <w:ind w:left="420" w:hanging="210"/>
      </w:pPr>
      <w:r>
        <w:rPr>
          <w:rFonts w:ascii="宋体" w:hAnsi="宋体" w:eastAsia="宋体"/>
          <w:b w:val="0"/>
          <w:sz w:val="21"/>
        </w:rPr>
        <w:t>· 上传限制类型与大小（单文件 50MB）；XLSX 读取缓存值，不执行公式与外部链接。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7.3  照片检测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POST /photos/check 与 POST /me/photo 共用同一检测逻辑：大小 ≤2MB、图片可解码、宽高比 33:48 为必检；白服装建议淡蓝背景、其他服装建议白背景作为 suggestions 返回，不阻断保存。保存路径强制检测，不合格返回 422。照片存为私有媒体，未登录不可访问。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7.4  备份与媒体安全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备份文件含敏感数据与密码哈希，仅管理员可触发与下载，存于被 Git 忽略的 runtime 目录；恢复需 confirm=true 并二次确认，恢复前自动另存当前快照，失败回滚。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8  部署与运维设计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8.1  环境依赖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26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组件</w:t>
            </w:r>
          </w:p>
        </w:tc>
        <w:tc>
          <w:tcPr>
            <w:tcW w:type="dxa" w:w="680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版本/要求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JDK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17 及以上（编译目标 17）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Maven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3.9 及以上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8.x，字符集 utf8mb4，时区 Asia/Shanghai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18 及以上（前端构建）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Chrome / Edge / Firefox 当前主流版本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8.2  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配置</w:t>
            </w:r>
          </w:p>
        </w:tc>
        <w:tc>
          <w:tcPr>
            <w:tcW w:type="dxa" w:w="30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默认值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PORT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8080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服务端口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DB_URL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jdbc:mysql://127.0.0.1:3306/sqa2_nacams…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数据库连接串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DB_USERNAME / DB_PASSWORD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sqa2 / 空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数据库账号，生产必须设置强口令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BOOTSTRAP_PASSWORD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无默认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首次启动的管理员密码，缺失则拒绝启动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APP_STORAGE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./runtime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媒体与备份根目录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BACKUP_CRON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 0 2 * * *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 02:00 自动备份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LIBRARY_SCAN_CRON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0 30 1 * * *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 01:30 到期/违规扫描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LIBRARY_HOLIDAYS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空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法定节假日清单（逗号分隔日期）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NAME_MIN_LENGTH / NAME_MAX_LENGTH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 / 15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中文姓名长度区间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SITE_*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站点名称、英文名、LOGO、版权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CORS_ORIGINS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localhost:5173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开发期前端来源白名单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SPRING_PROFILES_ACTIVE</w:t>
            </w:r>
          </w:p>
        </w:tc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local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local 使用 H2；生产显式指定 MySQL 配置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8-1  主要配置项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8.3  构建与启动</w:t>
      </w:r>
    </w:p>
    <w:p>
      <w:pPr>
        <w:spacing w:before="40" w:after="120" w:line="276" w:lineRule="auto"/>
        <w:ind w:left="360"/>
      </w:pPr>
      <w:r>
        <w:rPr>
          <w:rFonts w:ascii="Consolas" w:hAnsi="Consolas" w:eastAsia="Consolas"/>
          <w:b w:val="0"/>
          <w:sz w:val="18"/>
        </w:rPr>
        <w:t>mvn -f backend/pom.xml test            # 自动化测试（H2）</w:t>
      </w:r>
    </w:p>
    <w:p>
      <w:pPr>
        <w:spacing w:before="40" w:after="120" w:line="276" w:lineRule="auto"/>
        <w:ind w:left="360"/>
      </w:pPr>
      <w:r>
        <w:rPr>
          <w:rFonts w:ascii="Consolas" w:hAnsi="Consolas" w:eastAsia="Consolas"/>
          <w:b w:val="0"/>
          <w:sz w:val="18"/>
        </w:rPr>
        <w:t>mvn -f backend/pom.xml package         # 生成可运行 jar</w:t>
      </w:r>
    </w:p>
    <w:p>
      <w:pPr>
        <w:spacing w:before="40" w:after="120" w:line="276" w:lineRule="auto"/>
        <w:ind w:left="360"/>
      </w:pPr>
      <w:r>
        <w:rPr>
          <w:rFonts w:ascii="Consolas" w:hAnsi="Consolas" w:eastAsia="Consolas"/>
          <w:b w:val="0"/>
          <w:sz w:val="18"/>
        </w:rPr>
        <w:t>mvn -f backend/pom.xml spring-boot:run # 开发启动，默认 8080</w:t>
      </w:r>
    </w:p>
    <w:p>
      <w:pPr>
        <w:spacing w:before="40" w:after="120" w:line="276" w:lineRule="auto"/>
        <w:ind w:left="360"/>
      </w:pPr>
      <w:r>
        <w:rPr>
          <w:rFonts w:ascii="Consolas" w:hAnsi="Consolas" w:eastAsia="Consolas"/>
          <w:b w:val="0"/>
          <w:sz w:val="18"/>
        </w:rPr>
        <w:t>cd frontend &amp;&amp; npm install &amp;&amp; npm run dev   # 开发前端 5173</w:t>
      </w:r>
    </w:p>
    <w:p>
      <w:pPr>
        <w:spacing w:before="40" w:after="120" w:line="276" w:lineRule="auto"/>
        <w:ind w:left="360"/>
      </w:pPr>
      <w:r>
        <w:rPr>
          <w:rFonts w:ascii="Consolas" w:hAnsi="Consolas" w:eastAsia="Consolas"/>
          <w:b w:val="0"/>
          <w:sz w:val="18"/>
        </w:rPr>
        <w:t>cd frontend &amp;&amp; npm run build                # 生产构建，产物 dist/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生产启动前设置 DB_URL、DB_USERNAME、DB_PASSWORD、BOOTSTRAP_PASSWORD、APP_STORAGE，并确认 MySQL 已建库且账号有建表权限；schema.sql 在启动时自动执行（只建缺失表）。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8.4  定时任务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任务</w:t>
            </w:r>
          </w:p>
        </w:tc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默认时间</w:t>
            </w:r>
          </w:p>
        </w:tc>
        <w:tc>
          <w:tcPr>
            <w:tcW w:type="dxa" w:w="41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失败处理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借阅扫描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每日 01:30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到期提醒（前 3 工作日）、逾期 30 天违规候选、图书管理教师提醒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记录日志，下一日重试；去重键避免重复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自动备份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每日 02:00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 JSON 快照（20 张表＋媒体清单）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记录日志并保留上一份可用备份；管理员可手动补备</w:t>
            </w:r>
          </w:p>
        </w:tc>
      </w:tr>
    </w:tbl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8.5  日志与故障处理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应用日志输出到标准输出/文件，记录登录失败、越权、导入行失败、备份与恢复结果；不记录明文密码与令牌。500 错误返回统一文案，堆栈仅进日志。常见故障：数据库连接失败检查 DB_*；端口占用改 PORT；备份恢复失败检查格式版本与表集合；令牌失效属改密/恢复后的预期行为。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8.6  备份与归档策略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交付期每日 02:00 自动备份且不自动删除；管理员按存储情况人工归档。备份文件不进入源码包与 Git 仓库；交付演示前执行一次“备份—修改—恢复”演练，结果记入测试文档第 6 章。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9  需求追踪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设计项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对应需求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实现位置</w:t>
            </w:r>
          </w:p>
        </w:tc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验证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认证与权限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FR-USER-01、FR-ADMIN-01、NFR-SEC-01/02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auth/*、WebConfig、Access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TC-CORE-01、05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校验引擎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FR-VAL-01～10、B-01～B-06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validation/*、UserService.save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TC-VAL-01～07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门户内容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FR-PORTAL-01～08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portal/*、portal_content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TC-CORE-02/03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借阅与违规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FR-BOOK-01～10、FR-ADMIN-06/07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library/BorrowService、LibraryScheduler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TC-LIB-03～07、12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提醒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FR-NOTIFY-01～04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NotificationService、notifications.dedup_key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TC-LIB-06、11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下载与帮助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FR-DL-01～03、FR-HELP-01～02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DownloadService、HelpService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TC-LIB-08、09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批量导入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FR-ADMIN-02、NFR-COR-03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ImportService、source_import_rows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TC-CORE-04/06/07/10/11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备份恢复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FR-BACKUP-01～03、NFR-BAK-01/02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BackupService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TC-CORE-08/09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隐私脱敏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NFR-SEC-03、B-07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公开接口白名单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TC-CORE-03/09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UI 两方案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FR-UI-04、C-02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6.2 节记录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文档审查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9-1  设计—需求—验证追踪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本文件按《评审检查表 R2》（设计，17 项）自检：架构分层清晰、模块职责单一、数据库约束与外键完整、接口与冻结规范一致、隐私在服务端落实、UI 两方案有记录、部署与回滚可执行。R2 勾选结论随交付包归档。</w:t>
      </w:r>
    </w:p>
    <w:p>
      <w:r>
        <w:rPr>
          <w:b/>
          <w:sz w:val="28"/>
        </w:rPr>
        <w:t>审核签署</w:t>
      </w:r>
    </w:p>
    <w:p>
      <w:r>
        <w:t>本文件经 SQA2 小组全体成员一致审核通过。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fill="D9E2F3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项目角色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审核意见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2268"/>
          </w:tcPr>
          <w:p>
            <w:r>
              <w:t>刘罡甫</w:t>
            </w:r>
          </w:p>
        </w:tc>
        <w:tc>
          <w:tcPr>
            <w:tcW w:type="dxa" w:w="2268"/>
          </w:tcPr>
          <w:p>
            <w:r>
              <w:t>组长／项目经理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钟坤宇</w:t>
            </w:r>
          </w:p>
        </w:tc>
        <w:tc>
          <w:tcPr>
            <w:tcW w:type="dxa" w:w="2268"/>
          </w:tcPr>
          <w:p>
            <w:r>
              <w:t>前端·门户栏目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杨峥</w:t>
            </w:r>
          </w:p>
        </w:tc>
        <w:tc>
          <w:tcPr>
            <w:tcW w:type="dxa" w:w="2268"/>
          </w:tcPr>
          <w:p>
            <w:r>
              <w:t>前端·内部端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韦政治</w:t>
            </w:r>
          </w:p>
        </w:tc>
        <w:tc>
          <w:tcPr>
            <w:tcW w:type="dxa" w:w="2268"/>
          </w:tcPr>
          <w:p>
            <w:r>
              <w:t>后端核心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陈彬</w:t>
            </w:r>
          </w:p>
        </w:tc>
        <w:tc>
          <w:tcPr>
            <w:tcW w:type="dxa" w:w="2268"/>
          </w:tcPr>
          <w:p>
            <w:r>
              <w:t>校验与测试／文档统稿（SQA）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（请在 Word 中右键更新域）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