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使 用 权 声 明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SQA2 课程项目</w:t>
      </w:r>
    </w:p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项目组：SQA2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版本：V1.2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日期：2026-10-19</w:t>
      </w:r>
    </w:p>
    <w:p>
      <w:pPr>
        <w:jc w:val="center"/>
      </w:pPr>
      <w:r>
        <w:rPr>
          <w:rFonts w:ascii="宋体" w:hAnsi="宋体" w:eastAsia="宋体"/>
          <w:b/>
          <w:sz w:val="24"/>
        </w:rPr>
        <w:t>修订历史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134"/>
          </w:tcPr>
          <w:p>
            <w:r>
              <w:rPr>
                <w:sz w:val="18"/>
              </w:rPr>
              <w:t>版本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日期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修订内容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编制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首次编制：授权范围、17 项开源组件清单与许可证合规说明、数据素材、免责与签署栏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2026-10-18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补修订历史表；开源清单与后端组件说明（韦政治移交稿）核对一致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V1.2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2026-10-19</w:t>
            </w:r>
          </w:p>
        </w:tc>
        <w:tc>
          <w:tcPr>
            <w:tcW w:type="dxa" w:w="4989"/>
          </w:tcPr>
          <w:p>
            <w:r>
              <w:rPr>
                <w:sz w:val="18"/>
              </w:rPr>
              <w:t>同步 AI 台账截至 10-19；复核开源组件清单与版本，确认与后端组件说明一致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陈彬</w:t>
            </w:r>
          </w:p>
        </w:tc>
      </w:tr>
    </w:tbl>
    <w:p>
      <w:r>
        <w:br w:type="page"/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一、授权范围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组同意将“网络攻防对抗技术研究所管理系统”的源码、文档与演示材料，授权给课程任课教师、助教及选课学生，用于课程评审、教学演示、学习交流与后续课程改进。上述使用无需另行书面申请，但应保留本声明与原始版权信息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未经 SQA2 项目组书面同意，任何单位或个人不得将本项目全部或部分用于商业用途、对外提供服务、公开发表或纳入其他商业产品。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二、开源组件使用清单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本项目使用以下开源组件，均按其原始许可证使用，未修改组件源码。版本以交付时 pom.xml 与 package.json 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组件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许可证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Web 服务、配置、JDBC、测试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Framework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6.2.12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MVC、事务、JdbcTemplate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Security Crypto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6.5.6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BCrypt 口令哈希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MyBatis-Plus Boot3 Starter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3.5.12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账户映射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Connector/J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9.4.0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JDBC 驱动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GPL-2.0 with Universal FOSS Exception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springdoc-openapi WebMVC UI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2.8.14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OpenAPI 与 Swagger UI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POI OOXML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5.4.1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读取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Commons CSV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1.14.1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CSV 读取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Apache-2.0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Database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2.3.232（仅测试）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隔离测试数据库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MPL-2.0 / EPL-1.0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3.5.44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前端框架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Router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5.4.0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前端路由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Pinia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4.1.0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前端状态管理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Element Plus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2.14.7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UI 组件库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@element-plus/icons-vue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2.3.2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图标组件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Axios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1.20.0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HTTP 客户端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Vite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8.3.4（开发依赖）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前端构建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@vitejs/plugin-vue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6.0.10（开发依赖）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Vue 插件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MIT</w:t>
            </w:r>
          </w:p>
        </w:tc>
      </w:tr>
    </w:tbl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三、许可证合规说明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（1）Apache-2.0 组件保留版权、许可证与 NOTICE 信息，未以本组名义重新许可；（2）MIT 组件保留原始版权声明；（3）MySQL Connector/J 依据其 Universal FOSS Exception 随应用分发，不单独修改或再许可驱动；（4）H2 仅用于开发与测试，不作为生产数据库交付。完整依赖树可通过 mvn dependency:tree 与 npm ls 复核。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四、数据与素材使用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项目演示数据包含虚构账号与模拟业务数据；真实基础数据仅用于课程内部导入验证，未上传公开仓库，涉及个人信息的字段按最小必要原则处理。老师下发的需求、合同、课件与往届样例仅作本地只读参考，未复制进公开源码仓库，其版权归原作者所有。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五、免责与联系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本项目为课程教学项目，按“现状”提供，不承诺生产级可用性与持续维护。使用中的问题可通过课程项目组联系 SQA2。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项目组：SQA2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/>
          <w:sz w:val="21"/>
        </w:rPr>
        <w:t>日期：2026 年 10 月 19 日</w:t>
      </w:r>
    </w:p>
    <w:p>
      <w:pPr>
        <w:keepNext/>
        <w:spacing w:before="240" w:after="160"/>
      </w:pPr>
      <w:r>
        <w:rPr>
          <w:rFonts w:ascii="黑体" w:hAnsi="黑体" w:eastAsia="黑体"/>
          <w:b/>
          <w:sz w:val="28"/>
        </w:rPr>
        <w:t>签署</w:t>
      </w:r>
    </w:p>
    <w:p>
      <w:pPr>
        <w:spacing w:after="160" w:line="348" w:lineRule="auto"/>
        <w:ind w:firstLine="420"/>
      </w:pPr>
      <w:r>
        <w:rPr>
          <w:rFonts w:ascii="宋体" w:hAnsi="宋体" w:eastAsia="宋体"/>
          <w:b w:val="0"/>
          <w:sz w:val="21"/>
        </w:rPr>
        <w:t>本声明由 SQA2 项目组全体成员共同确认。以下签名表示已阅读、理解并同意本声明全部内容。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1"/>
        <w:gridCol w:w="2211"/>
        <w:gridCol w:w="2211"/>
        <w:gridCol w:w="2211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项目角色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签名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组长／前端与集成</w:t>
            </w:r>
          </w:p>
        </w:tc>
        <w:tc>
          <w:tcPr>
            <w:tcW w:type="dxa" w:w="2041"/>
          </w:tcPr>
          <w:p>
            <w:r>
              <w:t>刘罡甫</w:t>
            </w:r>
          </w:p>
        </w:tc>
        <w:tc>
          <w:tcPr>
            <w:tcW w:type="dxa" w:w="1361"/>
          </w:tcPr>
          <w:p>
            <w:r>
              <w:t>2026-10-19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后端基座／导入与备份</w:t>
            </w:r>
          </w:p>
        </w:tc>
        <w:tc>
          <w:tcPr>
            <w:tcW w:type="dxa" w:w="2041"/>
          </w:tcPr>
          <w:p>
            <w:r>
              <w:t>韦政治</w:t>
            </w:r>
          </w:p>
        </w:tc>
        <w:tc>
          <w:tcPr>
            <w:tcW w:type="dxa" w:w="1361"/>
          </w:tcPr>
          <w:p>
            <w:r>
              <w:t>2026-10-19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后端校验与借阅／测试与文档</w:t>
            </w:r>
          </w:p>
        </w:tc>
        <w:tc>
          <w:tcPr>
            <w:tcW w:type="dxa" w:w="2041"/>
          </w:tcPr>
          <w:p>
            <w:r>
              <w:t>陈彬</w:t>
            </w:r>
          </w:p>
        </w:tc>
        <w:tc>
          <w:tcPr>
            <w:tcW w:type="dxa" w:w="1361"/>
          </w:tcPr>
          <w:p>
            <w:r>
              <w:t>2026-10-19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钟坤宇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前端页面／需求与手册初稿</w:t>
            </w:r>
          </w:p>
        </w:tc>
        <w:tc>
          <w:tcPr>
            <w:tcW w:type="dxa" w:w="2041"/>
          </w:tcPr>
          <w:p>
            <w:r>
              <w:t>钟坤宇</w:t>
            </w:r>
          </w:p>
        </w:tc>
        <w:tc>
          <w:tcPr>
            <w:tcW w:type="dxa" w:w="1361"/>
          </w:tcPr>
          <w:p>
            <w:r>
              <w:t>2026-10-19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前端页面／系统设计初稿</w:t>
            </w:r>
          </w:p>
        </w:tc>
        <w:tc>
          <w:tcPr>
            <w:tcW w:type="dxa" w:w="2041"/>
          </w:tcPr>
          <w:p>
            <w:r>
              <w:t>杨峥</w:t>
            </w:r>
          </w:p>
        </w:tc>
        <w:tc>
          <w:tcPr>
            <w:tcW w:type="dxa" w:w="1361"/>
          </w:tcPr>
          <w:p>
            <w:r>
              <w:t>2026-10-19</w:t>
            </w:r>
          </w:p>
        </w:tc>
      </w:tr>
    </w:tbl>
    <w:sectPr w:rsidR="00FC693F" w:rsidRPr="0006063C" w:rsidSect="00034616">
      <w:pgSz w:w="11906" w:h="16838"/>
      <w:pgMar w:top="1417" w:right="1474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