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V1.5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讲评样例评审意见）。会前四份组员核查意见齐备（钟坤宇＝B3～B9、杨峥＝B10～B15、韦政治＝C／E 组、陈彬＝D／F 组，原文存于 组员核查意见/ 目录），22 项证据表述与 3 项判定（E1、B12、B15 改判部分符合）据此修订。</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10、部分符合 14、不符合 25，其中 E1、B12、B15 经组员核查改判）→严重问题 P01～P08 逐条引证表决→一般／轻微问题分级确认→定性讨论与裁决→结论表决→后续行动分派。五则关键裁决：其一，借阅与签到条款按框架判定 SRS 错误、实现更贴近框架（P06 的实现审批路由仍放行系统管理员，与框架口径有出入，见该条），定性为正式文档失真而非理解错误；其二，无出处量化指标定性为自设验收风险，处理方式为两级标注而非全部删除；其三，B6～B8 的判定对象为 SRS 文本而非实现（实现按框架恰为 F1／F2 失真证据）；其四，E1 可验证性由“符合”改判“部分符合”；其五，B12、B15 依杨峥复核改判“部分符合”。P01～P17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2026-10-21 评审会议后汇总组员核查意见修订定稿本报告并经组内确认；2026-10-23 12:00 前将评审材料四件套打包为作业5_SQA2.zip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类别</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严重</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一般</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轻微</w:t>
            </w:r>
          </w:p>
        </w:tc>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与上位文档的业务规则冲突</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关键需求缺失（数据规则、隐私、导入等）</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文档失真与一致性（SRS 与实现／内部文档）</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结构与可追踪性要素</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范围控制与指标溯源</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合计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8</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6</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节激励／响应序列在同类文档中少见；非功能需求大量量化（并发、响应、备份恢复等），可验证性总体较好（少数定性表述无判据，见检查表 E1），符合“以可定义客观测试的方式陈述需求”的主体要求。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P01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P02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明文：“研究所图书不提供续借服务”；同条并规定“图书归还5天后仍没有人借阅，该教师、同学可以再次借阅同一图书”（5 个自然日冷却期，SRS 亦未定义）。</w:t>
            </w:r>
          </w:p>
          <w:p>
            <w:pPr>
              <w:spacing w:after="20" w:before="20" w:line="276"/>
              <w:jc w:val="left"/>
            </w:pPr>
            <w:r>
              <w:rPr>
                <w:rFonts w:ascii="Times New Roman" w:eastAsia="SimSun"/>
                <w:b w:val="false"/>
                <w:bCs w:val="false"/>
                <w:color w:val="000000"/>
                <w:sz w:val="20"/>
                <w:szCs w:val="20"/>
              </w:rPr>
              <w:t xml:space="preserve">影响：与框架禁止性条款直接冲突；冷却期规则同样缺失（经组员核查并入本条，避免遗漏）；实现无续借入口（需求对照表“不提供续借；归还5天后无人借阅方可再借同一图书”）。</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删除续借条款；补归还后 5 个自然日同书再借冷却规则。</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P03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次永久停借”四个关键语义；实现为违规次数与待确认队列，但设计含“管理员核实后可撤销一次违规”机制（设计说明书“诚信管理”节），与澄清口径“记录不清除”亦不一致，应一并修订。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次停借（撤销机制如需保留，标注为扩展并经甲方确认）；信用分与损坏记录如需保留，标注为扩展并经甲方确认。</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P04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P05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位置：4.2、4.3.2.1 节（另见 3.2 节）</w:t>
            </w:r>
          </w:p>
          <w:p>
            <w:pPr>
              <w:spacing w:after="20" w:before="20" w:line="276"/>
              <w:jc w:val="left"/>
            </w:pPr>
            <w:r>
              <w:rPr>
                <w:rFonts w:ascii="Times New Roman" w:eastAsia="SimSun"/>
                <w:b w:val="false"/>
                <w:bCs w:val="false"/>
                <w:color w:val="000000"/>
                <w:sz w:val="20"/>
                <w:szCs w:val="20"/>
              </w:rPr>
              <w:t xml:space="preserve">SRS 原文：激励／响应序列表签到行：“1.用户点击签到按钮；2.系统获取当前时间戳与用户ID……”；4.3.2.1：“系统必须支持用户一键签到签出，自动记录精确到秒的时间戳。”（“自动记录时间戳”不等于登录自动签到。）</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影响：签到触发机制由登录／登出自动改为手动点击，与框架直接冲突；SRS 已写所长与教师两级统计视图，但教师未限定全职；出勤率、迟到早退、节假日与调休属新增口径。源码 DoLogin／Logout 调用 CheckIn／CheckOut 的自动签到路径仅作文档与实现不一致的辅证，不构成运行验证结论。</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恢复登录／登出自动触发与两级统计权限（教师限定全职）；节假日、调休、出勤率、迟到早退标注为待确认扩展。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P06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原文：激励／响应序列表图书借阅行：“3.管理员审核通过”；§4.3.2.1 另有“所长账号需具备全局统计视图”——有所长提及，但全文未定义业务角色授权机制。</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影响：审核主体混称与业务授权机制不完整：借阅流程将审核者统称“管理员”，未明确为负责资料保管的教师；所长、图书管理教师的指定、撤销与权限边界未定义。实现含 IsBookKeeper／IsDirector 标记与教师审核路径，但审批路由同时放行系统管理员（adminOrBookKeeper），与“负责资料保管的教师审核”的框架口径仍有出入——静态代码核对仅证明存在更贴近框架的实现路径，不构成运行或验收结论。</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补业务角色授权矩阵，由系统管理员指定相关教师身份；明确借阅审核、上限设置、违规确认的执行角色；系统管理员是否兼有业务审核权另行与甲方确认。</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P07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位置：4.3、5.5 节（字段级规则缺失）</w:t>
            </w:r>
          </w:p>
          <w:p>
            <w:pPr>
              <w:spacing w:after="20" w:before="20" w:line="276"/>
              <w:jc w:val="left"/>
            </w:pPr>
            <w:r>
              <w:rPr>
                <w:rFonts w:ascii="Times New Roman" w:eastAsia="SimSun"/>
                <w:b w:val="false"/>
                <w:bCs w:val="false"/>
                <w:color w:val="000000"/>
                <w:sz w:val="20"/>
                <w:szCs w:val="20"/>
              </w:rPr>
              <w:t xml:space="preserve">SRS 原文：全文仅 5.5.1 对学号/工号提出“按预设格式校验合法性”且格式未定义；导入校验仅有通用要求（3.3.4 行级报错、4.3.3.1 格式提示）；姓名、照片、电话、导师资格等字段级规则无任何条款。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影响：SRS 呈“有全局校验规则、无字段级规则”状态，字段口径与实现脱节；实现 validate 已含工号／学号／姓名／照片／电话规则（属“做了没写”），唯导师／副导师全职约束 SRS 与实现均未落实（见检查表 C6，属共同缺失）。</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数据说明组织），把已实现校验规则回填为需求条目；导师全职约束按框架补需求并落地校验。</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P08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P09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 节（人员检索与可见性边界缺失）</w:t>
            </w:r>
          </w:p>
          <w:p>
            <w:pPr>
              <w:spacing w:after="20" w:before="20" w:line="276"/>
              <w:jc w:val="left"/>
            </w:pPr>
            <w:r>
              <w:rPr>
                <w:rFonts w:ascii="Times New Roman" w:eastAsia="SimSun"/>
                <w:b w:val="false"/>
                <w:bCs w:val="false"/>
                <w:color w:val="000000"/>
                <w:sz w:val="20"/>
                <w:szCs w:val="20"/>
              </w:rPr>
              <w:t xml:space="preserve">SRS 原文：（人员信息检索与字段可见性无对应条款——SRS 仅成果、招生栏目含检索表述（4.3.1.5／4.3.1.6），“敏感”3 处均为加密与后台修改语境。）</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影响：人员信息的游客查询与隐私边界无需求依据；实现学生详情仅展示学号、姓名、性别、类别、国籍、导师（符合口径），属“做了没写”。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补充人员信息游客检索需求与字段可见性矩阵（含脱敏规则）。</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P10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位置：2.4、2.6 节（整站迁移需求不完整）</w:t>
            </w:r>
          </w:p>
          <w:p>
            <w:pPr>
              <w:spacing w:after="20" w:before="20" w:line="276"/>
              <w:jc w:val="left"/>
            </w:pPr>
            <w:r>
              <w:rPr>
                <w:rFonts w:ascii="Times New Roman" w:eastAsia="SimSun"/>
                <w:b w:val="false"/>
                <w:bCs w:val="false"/>
                <w:color w:val="000000"/>
                <w:sz w:val="20"/>
                <w:szCs w:val="20"/>
              </w:rPr>
              <w:t xml:space="preserve">SRS 原文：SRS 已在 §2.2／§2.5／§3.3／§4.3.3.1 定义 Excel/CSV 用户批量导入及部分校验与错误反馈；§2.4、§2.6 提及“研究所现有网站数据的导入需求”与师资、图书目录、历史研究成果等数据依赖。</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开篇：“新开发的管理系统应支持对现有网站数据的导入功能。”（现有网站数据不限于注册用户。）</w:t>
            </w:r>
          </w:p>
          <w:p>
            <w:pPr>
              <w:spacing w:after="20" w:before="20" w:line="276"/>
              <w:jc w:val="left"/>
            </w:pPr>
            <w:r>
              <w:rPr>
                <w:rFonts w:ascii="Times New Roman" w:eastAsia="SimSun"/>
                <w:b w:val="false"/>
                <w:bCs w:val="false"/>
                <w:color w:val="000000"/>
                <w:sz w:val="20"/>
                <w:szCs w:val="20"/>
              </w:rPr>
              <w:t xml:space="preserve">影响：除用户外的迁移对象（图书目录、历史成果等）未分项落为功能需求：迁移范围、字段映射、关联关系、失败处理与迁移后验收条件不明确；源码 import.go 与设计说明可佐证用户导入，不能证明整站迁移完成。</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补迁移范围表（对象、字段映射、关联关系、失败处理、验收条件），已定义部分交叉引用、不重复要求全部重写；与老师下发基础数据（Y10）衔接。</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P11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影响：前台栏目字段与框架不一致（师资、成果栏目同理）——系字段口径与需求基线不统一：部分功能已实现但 SRS 未准确表述，而非完全未实现；其测试文档 2.1 节第 5、7 项预期实际按框架字段描述，佐证 SRS 失真。</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P12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位置：5.1、5.2、5.4.4、5.5.1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章与两轮澄清中均无下列指标对应条款：200 并发／500 用户（5.1.1）、1TB／10 万条（5.1.4）、RTO／RPO（5.2.2）、日志 180 天（5.2.3）、注释率 20％（5.4.4）、密码 7 天（5.5.1）（逐条对照，依据 Y1、Y10）。</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人，见 Y10 基础数据）不匹配。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P13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节（编号规则未定义）</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风格（Y10），换算口径无需求依据；实现 validate.BookCode 已按 7 位规则。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补编号规则需求与真实数据换算口径；检索字段对齐框架（编号、书名、作者），结果列表展示出版年份与馆藏状态。</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P14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P15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P16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P17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Y1～Y10），含业务需求框架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830-1998、老师 2026-10-12 下发《选择1 基础数据（部分）》9 份 xlsx（Y10）、课件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V1.4</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依据会前三份组员核查意见修订：E1 改判“部分符合”并同步统计（符合 11／部分符合 12／不符合 26）；P03 补实现侧“违规可撤销”与澄清口径冲突、P07 改“有全局规则无字段规则”并注明 C6 共同缺失、P09 限定人员检索范围、P11 补“非完全未实现”、P12 改逐条对照并修位置、P13 修位置与建议；2.3 节时间线统一；封面版本同步</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V1.5</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依据杨峥会前复核意见修订：B12、B15 改判“部分符合”，统计更正为 10／14／25；P05 引语分段并限定源码为辅证、P06 收紧为“审核主体混称与业务授权机制不完整”（补审批路由放行系统管理员事实）、P10 收紧为“整站迁移需求不完整”、P02 并入 5 天冷却期规则；2.2 节统计与裁决数同步</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2026-10-21T14:45:00.742Z</dcterms:created>
  <dcterms:modified xsi:type="dcterms:W3CDTF">2026-10-21T14:45:00.742Z</dcterms:modified>
</cp:coreProperties>
</file>

<file path=docProps/custom.xml><?xml version="1.0" encoding="utf-8"?>
<Properties xmlns="http://schemas.openxmlformats.org/officeDocument/2006/custom-properties" xmlns:vt="http://schemas.openxmlformats.org/officeDocument/2006/docPropsVTypes"/>
</file>