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网络攻防对抗技术研究所管理系统</w:t>
      </w:r>
    </w:p>
    <w:p>
      <w:pPr>
        <w:jc w:val="center"/>
      </w:pPr>
      <w:r>
        <w:rPr>
          <w:rFonts w:ascii="黑体" w:hAnsi="黑体" w:eastAsia="黑体"/>
          <w:b/>
          <w:sz w:val="60"/>
        </w:rPr>
        <w:t>独 创 性 声 明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SQA2 课程项目</w:t>
      </w:r>
    </w:p>
    <w:p/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项目组：SQA2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版本：V1.1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日期：2026-10-18</w:t>
      </w:r>
    </w:p>
    <w:p>
      <w:pPr>
        <w:jc w:val="center"/>
      </w:pPr>
      <w:r>
        <w:rPr>
          <w:rFonts w:ascii="宋体" w:hAnsi="宋体" w:eastAsia="宋体"/>
          <w:b/>
          <w:sz w:val="24"/>
        </w:rPr>
        <w:t>修订历史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134"/>
          </w:tcPr>
          <w:p>
            <w:r>
              <w:rPr>
                <w:sz w:val="18"/>
              </w:rPr>
              <w:t>版本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日期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修订内容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编制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2026-10-18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首次编制：声明事项、代码与文档来源、AI 辅助使用说明、责任承诺与签署栏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陈彬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2026-10-18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勘误：数据库表数量 19→20（schema.sql 共 21 张）；自动化测试 36→46 项；补修订历史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陈彬</w:t>
            </w:r>
          </w:p>
        </w:tc>
      </w:tr>
    </w:tbl>
    <w:p>
      <w:r>
        <w:br w:type="page"/>
      </w:r>
    </w:p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一、声明事项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本小组郑重声明：本交付项目“网络攻防对抗技术研究所管理系统”的源代码、数据库设计、接口文档、测试文档及用户手册，除文中明确标注的引用、开源组件与 AI 辅助生成内容外，均由 SQA2 项目组成员独立完成，未抄袭他人成果，未将他人项目代码或文档冒充为本组原创。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项目开发过程中参考的公开资料、课程教材、老师下发的需求框架与合同文本，仅用于理解需求与规范，未直接复制其受版权保护的代码或文档内容；引用之处已以文档说明或代码注释标明来源。</w:t>
      </w:r>
    </w:p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二、代码与文档来源说明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2948"/>
        <w:gridCol w:w="2948"/>
      </w:tblGrid>
      <w:tr>
        <w:trPr>
          <w:tblHeader w:val="true"/>
        </w:trPr>
        <w:tc>
          <w:tcPr>
            <w:tcW w:type="dxa" w:w="1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成果类别</w:t>
            </w:r>
          </w:p>
        </w:tc>
        <w:tc>
          <w:tcPr>
            <w:tcW w:type="dxa" w:w="24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完成方式</w:t>
            </w:r>
          </w:p>
        </w:tc>
        <w:tc>
          <w:tcPr>
            <w:tcW w:type="dxa" w:w="464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后端业务代码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本组开发＋AI 辅助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认证、用户、门户、图书借阅、数据校验、下载帮助、备份恢复；AI 生成的代码均经编译、测试与人工审查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前端代码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本组开发＋AI 辅助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Vue 3 工程骨架、门户页面、登录页、关于我们、图书与下载页面；页面逻辑与接口字段由本组对齐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数据库设计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本组设计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 张业务表（schema.sql 共 21 张，另含令牌会话表）、约束与索引；schema.sql 随源码交付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接口规范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本组编写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 于 2026-10-17 12:00 冻结，与实现逐路由核对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测试与文档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本组编写＋AI 辅助起草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测试用例、测试报告、需求规格、设计说明、用户手册；数据与结论由本组执行和复核</w:t>
            </w:r>
          </w:p>
        </w:tc>
      </w:tr>
    </w:tbl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三、AI 辅助使用说明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本组在开发与文档编制过程中使用了 AI 编程助手，使用范围、工具与复核方式如下。所有 AI 输出均视为“草稿”，由成员逐项审查、修改、编译与测试后才纳入交付物；AI 不对最终代码与文档的正确性负责，文责由本组承担。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2948"/>
        <w:gridCol w:w="2948"/>
      </w:tblGrid>
      <w:tr>
        <w:trPr>
          <w:tblHeader w:val="true"/>
        </w:trPr>
        <w:tc>
          <w:tcPr>
            <w:tcW w:type="dxa" w:w="161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AI 工具</w:t>
            </w:r>
          </w:p>
        </w:tc>
        <w:tc>
          <w:tcPr>
            <w:tcW w:type="dxa" w:w="372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协助范围</w:t>
            </w:r>
          </w:p>
        </w:tc>
        <w:tc>
          <w:tcPr>
            <w:tcW w:type="dxa" w:w="372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人工复核方式</w:t>
            </w:r>
          </w:p>
        </w:tc>
      </w:tr>
      <w:tr>
        <w:tc>
          <w:tcPr>
            <w:tcW w:type="dxa" w:w="161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ZCode（GLM）</w:t>
            </w:r>
          </w:p>
        </w:tc>
        <w:tc>
          <w:tcPr>
            <w:tcW w:type="dxa" w:w="37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需求与合同条款梳理、质量计划与评审检查表起草、前端工程骨架与页面初稿、文档结构整理</w:t>
            </w:r>
          </w:p>
        </w:tc>
        <w:tc>
          <w:tcPr>
            <w:tcW w:type="dxa" w:w="37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组长逐条核对需求框架与合同口径；前端构建与浏览器实测；文档经全组评审</w:t>
            </w:r>
          </w:p>
        </w:tc>
      </w:tr>
      <w:tr>
        <w:tc>
          <w:tcPr>
            <w:tcW w:type="dxa" w:w="161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Codex</w:t>
            </w:r>
          </w:p>
        </w:tc>
        <w:tc>
          <w:tcPr>
            <w:tcW w:type="dxa" w:w="37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后端工程骨架、账户与门户模块、基础数据导入、备份恢复、设计文档章节初稿</w:t>
            </w:r>
          </w:p>
        </w:tc>
        <w:tc>
          <w:tcPr>
            <w:tcW w:type="dxa" w:w="37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编译与 12 项基线集成测试；真实数据导入与 MySQL 冒烟；逐页视觉核查</w:t>
            </w:r>
          </w:p>
        </w:tc>
      </w:tr>
      <w:tr>
        <w:tc>
          <w:tcPr>
            <w:tcW w:type="dxa" w:w="161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CodeArts（DeepSeek）</w:t>
            </w:r>
          </w:p>
        </w:tc>
        <w:tc>
          <w:tcPr>
            <w:tcW w:type="dxa" w:w="37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校验引擎与图书借阅模块编码、集成与性能测试、接口冻结合规核对、测试文档与交付提纲起草</w:t>
            </w:r>
          </w:p>
        </w:tc>
        <w:tc>
          <w:tcPr>
            <w:tcW w:type="dxa" w:w="37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本地编译与 46 项自动化测试；接口逐条对照 v1.0；关键规则读码复核；缺陷修复后回归</w:t>
            </w:r>
          </w:p>
        </w:tc>
      </w:tr>
      <w:tr>
        <w:tc>
          <w:tcPr>
            <w:tcW w:type="dxa" w:w="161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python-docx 等文档工具</w:t>
            </w:r>
          </w:p>
        </w:tc>
        <w:tc>
          <w:tcPr>
            <w:tcW w:type="dxa" w:w="37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DOCX 排版与表格生成</w:t>
            </w:r>
          </w:p>
        </w:tc>
        <w:tc>
          <w:tcPr>
            <w:tcW w:type="dxa" w:w="37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人工核对章节、数据与图表；导出后检查版式</w:t>
            </w:r>
          </w:p>
        </w:tc>
      </w:tr>
    </w:tbl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四、AI 使用登记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每次 AI 参与的任务、工具、产出与责任人已逐条登记于项目台账 docs/AI使用登记.md（截至 2026-10-18），并按日期与任务可追溯至对应提交或文档。台账随源码交付，接受评审核查。</w:t>
      </w:r>
    </w:p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五、责任承诺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本组承诺：如实披露 AI 与开源组件使用情况；对交付物的真实性、可运行性与安全性负责；如发现遗漏或不当引用，将在评审期内主动更正并记录修订。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/>
          <w:sz w:val="21"/>
        </w:rPr>
        <w:t>项目组：SQA2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/>
          <w:sz w:val="21"/>
        </w:rPr>
        <w:t>日期：2026 年 10 月 18 日</w:t>
      </w:r>
    </w:p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签署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本声明由 SQA2 项目组全体成员共同确认。以下签名表示已阅读、理解并同意本声明全部内容。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1"/>
        <w:gridCol w:w="2211"/>
        <w:gridCol w:w="2211"/>
        <w:gridCol w:w="2211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姓名</w:t>
            </w:r>
          </w:p>
        </w:tc>
        <w:tc>
          <w:tcPr>
            <w:tcW w:type="dxa" w:w="396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项目角色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签名</w:t>
            </w:r>
          </w:p>
        </w:tc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刘罡甫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组长／前端与集成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韦政治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后端基座／导入与备份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后端校验与借阅／测试与文档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钟坤宇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前端页面／需求与手册初稿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杨峥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前端页面／系统设计初稿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sectPr w:rsidR="00FC693F" w:rsidRPr="0006063C" w:rsidSect="00034616">
      <w:pgSz w:w="11906" w:h="16838"/>
      <w:pgMar w:top="1417" w:right="1474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