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lineRule="auto" w:line="312"/>
        <w:jc w:val="center"/>
      </w:pPr>
      <w:r>
        <w:rPr>
          <w:rFonts w:ascii="黑体" w:hAnsi="黑体" w:eastAsia="黑体"/>
          <w:b/>
          <w:sz w:val="32"/>
        </w:rPr>
        <w:t>需求评审问题闭环表</w:t>
      </w:r>
    </w:p>
    <w:p>
      <w:pPr>
        <w:spacing w:after="200" w:lineRule="auto" w:line="312"/>
        <w:jc w:val="center"/>
      </w:pPr>
      <w:r>
        <w:rPr>
          <w:rFonts w:ascii="宋体" w:hAnsi="宋体" w:eastAsia="宋体"/>
          <w:b w:val="0"/>
          <w:sz w:val="21"/>
        </w:rPr>
        <w:t>（回应 SQA1《软件需求规格说明书技术评审报告》SQA1-SRS-REV-20261020 V1.1）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/>
        </w:trP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项</w:t>
            </w:r>
          </w:p>
        </w:tc>
        <w:tc>
          <w:tcPr>
            <w:tcW w:type="dxa" w:w="748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报告编号</w:t>
            </w:r>
          </w:p>
        </w:tc>
        <w:tc>
          <w:tcPr>
            <w:tcW w:type="dxa" w:w="748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SQA2-SRS-CLOSURE-20261026｜版本 V1.0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被评审文档</w:t>
            </w:r>
          </w:p>
        </w:tc>
        <w:tc>
          <w:tcPr>
            <w:tcW w:type="dxa" w:w="748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《需求规格说明书_SQA2.docx》V1.0（文档编号 SQA2-SRS-20261018，SHA256 94be6e1b…33，见评审报告表 1-1）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闭环版本</w:t>
            </w:r>
          </w:p>
        </w:tc>
        <w:tc>
          <w:tcPr>
            <w:tcW w:type="dxa" w:w="748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V1.1（2026-10-26，12 项缺陷全部整改完成；V1.0 已归档）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评审组织</w:t>
            </w:r>
          </w:p>
        </w:tc>
        <w:tc>
          <w:tcPr>
            <w:tcW w:type="dxa" w:w="748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SQA1 团队（结对互评·需求阶段）；评审结论：部分批准（有条件批准）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编制</w:t>
            </w:r>
          </w:p>
        </w:tc>
        <w:tc>
          <w:tcPr>
            <w:tcW w:type="dxa" w:w="748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SQA2 团队（北京盾阵科技有限公司）· 组长 刘罡甫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编制日期</w:t>
            </w:r>
          </w:p>
        </w:tc>
        <w:tc>
          <w:tcPr>
            <w:tcW w:type="dxa" w:w="748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2026-10-26</w:t>
            </w:r>
          </w:p>
        </w:tc>
      </w:tr>
      <w:tr>
        <w:tc>
          <w:tcPr>
            <w:tcW w:type="dxa" w:w="181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依据</w:t>
            </w:r>
          </w:p>
        </w:tc>
        <w:tc>
          <w:tcPr>
            <w:tcW w:type="dxa" w:w="7483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GB/T 8567-2006；正式设计评审会后跟踪改正要求（DR 报告之措施完备清单与跟踪）</w:t>
            </w:r>
          </w:p>
        </w:tc>
      </w:tr>
    </w:tbl>
    <w:p>
      <w:pPr>
        <w:spacing w:after="40" w:lineRule="auto" w:line="312"/>
      </w:pPr>
    </w:p>
    <w:p>
      <w:pPr>
        <w:spacing w:after="80" w:lineRule="auto" w:line="312"/>
      </w:pPr>
      <w:r>
        <w:rPr>
          <w:rFonts w:ascii="黑体" w:hAnsi="黑体" w:eastAsia="黑体"/>
          <w:b/>
          <w:sz w:val="26"/>
        </w:rPr>
        <w:t>修订历史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/>
        </w:trPr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版本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  <w:tc>
          <w:tcPr>
            <w:tcW w:type="dxa" w:w="510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修订内容</w:t>
            </w:r>
          </w:p>
        </w:tc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编制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审核</w:t>
            </w:r>
          </w:p>
        </w:tc>
      </w:tr>
      <w:tr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V1.0</w:t>
            </w:r>
          </w:p>
        </w:tc>
        <w:tc>
          <w:tcPr>
            <w:tcW w:type="dxa" w:w="136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2026-10-26</w:t>
            </w:r>
          </w:p>
        </w:tc>
        <w:tc>
          <w:tcPr>
            <w:tcW w:type="dxa" w:w="510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首次编制：逐条回应 SQA1 评审报告 12 项缺陷与 3 项建议，附关闭证据，提出复核请示</w:t>
            </w:r>
          </w:p>
        </w:tc>
        <w:tc>
          <w:tcPr>
            <w:tcW w:type="dxa" w:w="90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组长</w:t>
            </w:r>
          </w:p>
        </w:tc>
        <w:tc>
          <w:tcPr>
            <w:tcW w:type="dxa" w:w="102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组长复核</w:t>
            </w:r>
          </w:p>
        </w:tc>
      </w:tr>
    </w:tbl>
    <w:p>
      <w:pPr>
        <w:spacing w:after="80" w:lineRule="auto" w:line="312"/>
      </w:pPr>
      <w:r>
        <w:rPr>
          <w:rFonts w:ascii="黑体" w:hAnsi="黑体" w:eastAsia="黑体"/>
          <w:b/>
          <w:sz w:val="26"/>
        </w:rPr>
        <w:t>1  编制目的与闭环说明</w:t>
      </w:r>
    </w:p>
    <w:p>
      <w:pPr>
        <w:spacing w:after="120" w:lineRule="auto" w:line="312"/>
        <w:jc w:val="both"/>
      </w:pPr>
      <w:r>
        <w:rPr>
          <w:rFonts w:ascii="宋体" w:hAnsi="宋体" w:eastAsia="宋体"/>
          <w:b w:val="0"/>
          <w:sz w:val="24"/>
        </w:rPr>
        <w:t>2026-10-26，本组收到结对小组 SQA1 出具的《软件需求规格说明书技术评审报告》（SQA1-SRS-REV-20261020 V1.1，结论：部分批准（有条件批准），缺陷 12 项＝P1 强制整改 3 项＋P2 限期整改 9 项，另有建议项 3 项）。经组长裁决，本组按正式设计评审的会后跟踪改正要求完成如下闭环：</w:t>
      </w:r>
    </w:p>
    <w:p>
      <w:pPr>
        <w:spacing w:after="120" w:lineRule="auto" w:line="312"/>
        <w:jc w:val="both"/>
      </w:pPr>
      <w:r>
        <w:rPr>
          <w:rFonts w:ascii="宋体" w:hAnsi="宋体" w:eastAsia="宋体"/>
          <w:b w:val="0"/>
          <w:sz w:val="24"/>
        </w:rPr>
        <w:t>① 对 12 项缺陷逐条整改，《需求规格说明书_SQA2.docx》升版 V1.1（修订历史已记录，V1.0 归档为《归档_需求规格说明书_V1.0_20261018.docx》）；② 本表逐项给出整改措施与关闭证据；③ 对 3 项建议给出采纳口径；④ 请 SQA1 按其《技术评审计划》组织第二轮评审（或书面复核），通过后按 DR 三态出具“完全批准”。</w:t>
      </w:r>
    </w:p>
    <w:p>
      <w:pPr>
        <w:spacing w:after="80" w:lineRule="auto" w:line="312"/>
      </w:pPr>
      <w:r>
        <w:rPr>
          <w:rFonts w:ascii="黑体" w:hAnsi="黑体" w:eastAsia="黑体"/>
          <w:b/>
          <w:sz w:val="26"/>
        </w:rPr>
        <w:t>2  缺陷闭环明细（12/12 已关闭）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5"/>
        <w:gridCol w:w="1345"/>
        <w:gridCol w:w="1345"/>
        <w:gridCol w:w="1345"/>
        <w:gridCol w:w="1345"/>
        <w:gridCol w:w="1345"/>
        <w:gridCol w:w="1345"/>
      </w:tblGrid>
      <w:tr>
        <w:trPr>
          <w:tblHeader/>
        </w:trP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等级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位置（V1.0）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问题摘要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整改措施（V1.1 落点）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关闭证据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状态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D-01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目录页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目录为占位符（“请在 Word 中右键更新域”）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目录页替换为真实 TOC 域（\o "1-2"），全部章/节标题设置大纲级别（7 章＋36 节），经 WPS 更新域生成条目与页码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目录页无占位文字，条目与正文标题逐级一致，页码由域自动生成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C-02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SRS 4.3；FR-ADMIN-06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缺日志采集范围、留存周期与审计追踪要求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新增 NFR-SEC-06：审计日志覆盖登录/登出、权限与标记位变更、图书审核与违规确认、内容增删、批量导入、备份恢复；含操作人/时间/对象/结果，留存不少于 180 天，仅管理员可检索导出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SRS 4.3 节存在日志审计条款，与“可追溯操作人”表述一致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I-01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表2-1；FR-ADMIN-05/06；NFR-SEC-02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管理员权限与 isLibrarian 授权条件表述不一致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FR-ADMIN-05/06（并延伸 07/08 图书域全部条目）需求正文统一标注“（需 isLibrarian 授权）”，与表 2-1“图书业务需另授 isLibrarian”、NFR-SEC-02 对齐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表 2-1、NFR-SEC-02、FR-ADMIN-05、FR-ADMIN-06 四处表述一致（07/08 同步）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I-02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表3-4 列头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借阅规则表缺优先级列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表 3-4 增加“优先级”列，按 1.6 节 P0/P1/P2 体系逐条标注（P0×8、P1×2）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表 3-4 含优先级列，口径与 1.6 节一致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V-01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FR-UI-01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“界面结构清晰”不可量化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补充可判定依据：导航层级不超过三级；布局规范与界面方案依据引用《系统设计说明书》界面设计章节，C-01 界面走查以此为准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FR-UI-01 具有可判定标准与明确引用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V-02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表4-1 NFR-PERF-05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“待部署环境实测”误作需求；2s 基准缺依据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表头“实测（2026-10-18）”改“验证记录（详见《测试文档》）”；NFR-PERF-05 改“≤2s（内部目标，参照往届同题组设定；非合同验收指标；测试方法与环境见《测试文档》）”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性能表不再以实测承载需求；2s 基准属性已标明（并采纳建议 S-03）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B-01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2.3/2.4/3.5；FR-BOOK-01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实现细节混入需求（版本号/分包/响应包/422 映射/正则）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①表 2-2 服务端行：JDK 17、Spring Boot 3.5.7 迁出，改引用《系统设计说明书》与《运行说明》；②2.4 架构条：统一响应包与状态码约定改引用《接口规范_SQA2》；③2.4 扩展条＋NFR-MNT-01：分包清单改引用设计说明书；④3.5 节：422 字段映射改引用接口规范；⑤FR-BOOK-01：正则迁出，保留业务描述与引用；⑥参考资料表补《系统设计说明书》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需求正文无版本号、无分包清单、无响应包定义、无正则；各处改为可准确定位的引用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B-02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2.4 末条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接口冻结纪律属管理纪律，误置需求文档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改写为“接口管理”：接口以《接口规范_SQA2》为唯一权威；冻结后变更须更新版本并经相关方确认，纪律归属《质量计划》第 7 章配置管理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需求文档不再承载项目管理纪律条款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F-01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FR-PORTAL-01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AIGC LOGO 未独立定义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新增 FR-PORTAL-09：LOGO 须由 AIGC 工具生成、体现网络攻防对抗方向与特色、生成工具与提示词登记于《独创性声明》《使用权声明》、不使用未授权第三方标志；表 6-1 指标 A-01/C-03 对应需求补 FR-PORTAL-09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独立需求条目存在，A-01/C-03 可判定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F-02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NFR-SEC-03；2.3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手机号、出生日期加密要求未细化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NFR-SEC-03 补充：敏感字段数据库加密存储（AES-256 或等效强度），传输全程 HTTPS/TLS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安全条款可验证，与框架 §3.1.8 意图一致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F-03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P1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FR-PORTAL-02；表5-2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门户展示字段级要求缺失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FR-PORTAL-02 逐项列出框架 §3.1.3 字段：全职教师（姓名、职称、导师资格、研究所职务、社会兼职、学院行政职务等），毕业学生（学号、性别、类别、入学时间、毕业时间、初次就业单位等）；表 5-2 teachers/students 行补字段指引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字段与框架 §3.1.3 逐项对应，A-01“内容正确展示”可判定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  <w:tr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K-02</w:t>
            </w:r>
          </w:p>
        </w:tc>
        <w:tc>
          <w:tcPr>
            <w:tcW w:type="dxa" w:w="51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P2</w:t>
            </w:r>
          </w:p>
        </w:tc>
        <w:tc>
          <w:tcPr>
            <w:tcW w:type="dxa" w:w="124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FR-PORTAL-02；表6-3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学生状态三态偏离两态且未登记变更</w:t>
            </w:r>
          </w:p>
        </w:tc>
        <w:tc>
          <w:tcPr>
            <w:tcW w:type="dxa" w:w="294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表 6-3 补登记：2026-10-18 学生展示状态两态→三态（在读/毕业/结业肄业），原因＝老师下发基础数据含结业肄业独立表（9 份 xlsx），属合理细化；影响范围＝FR-PORTAL-02、students.status、筛选与统计</w:t>
            </w:r>
          </w:p>
        </w:tc>
        <w:tc>
          <w:tcPr>
            <w:tcW w:type="dxa" w:w="2098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变更已登记并说明依据，验收口径明确</w:t>
            </w:r>
          </w:p>
        </w:tc>
        <w:tc>
          <w:tcPr>
            <w:tcW w:type="dxa" w:w="56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已关闭</w:t>
            </w:r>
          </w:p>
        </w:tc>
      </w:tr>
    </w:tbl>
    <w:p>
      <w:pPr>
        <w:spacing w:after="0" w:lineRule="auto" w:line="312"/>
      </w:pPr>
    </w:p>
    <w:p>
      <w:pPr>
        <w:spacing w:after="80" w:lineRule="auto" w:line="312"/>
      </w:pPr>
      <w:r>
        <w:rPr>
          <w:rFonts w:ascii="黑体" w:hAnsi="黑体" w:eastAsia="黑体"/>
          <w:b/>
          <w:sz w:val="26"/>
        </w:rPr>
        <w:t>3  建议项处理（S-01～S-03）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68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编号</w:t>
            </w:r>
          </w:p>
        </w:tc>
        <w:tc>
          <w:tcPr>
            <w:tcW w:type="dxa" w:w="238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建议</w:t>
            </w:r>
          </w:p>
        </w:tc>
        <w:tc>
          <w:tcPr>
            <w:tcW w:type="dxa" w:w="396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采纳口径</w:t>
            </w:r>
          </w:p>
        </w:tc>
        <w:tc>
          <w:tcPr>
            <w:tcW w:type="dxa" w:w="238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落实位置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S-01</w:t>
            </w:r>
          </w:p>
        </w:tc>
        <w:tc>
          <w:tcPr>
            <w:tcW w:type="dxa" w:w="238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补充服务健康检查与运行监控接口</w:t>
            </w:r>
          </w:p>
        </w:tc>
        <w:tc>
          <w:tcPr>
            <w:tcW w:type="dxa" w:w="396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部分采纳：属运维增强实践，框架与合同附件 1 均未要求，不纳入需求与验收；登记为后续版本增强项</w:t>
            </w:r>
          </w:p>
        </w:tc>
        <w:tc>
          <w:tcPr>
            <w:tcW w:type="dxa" w:w="238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后续增强项清单（接口规范维护行）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S-02</w:t>
            </w:r>
          </w:p>
        </w:tc>
        <w:tc>
          <w:tcPr>
            <w:tcW w:type="dxa" w:w="238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给出 AIGC 率参考口径</w:t>
            </w:r>
          </w:p>
        </w:tc>
        <w:tc>
          <w:tcPr>
            <w:tcW w:type="dxa" w:w="396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采纳：按老师澄清口径（系统提供 AIGC 率仅供参考、不判断是否合格）执行；属课程层面要求，已在《质量计划》标准章落实，SRS 不增设功能需求</w:t>
            </w:r>
          </w:p>
        </w:tc>
        <w:tc>
          <w:tcPr>
            <w:tcW w:type="dxa" w:w="238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《质量计划_SQA2》标准与工具章</w:t>
            </w:r>
          </w:p>
        </w:tc>
      </w:tr>
      <w:tr>
        <w:tc>
          <w:tcPr>
            <w:tcW w:type="dxa" w:w="680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S-03</w:t>
            </w:r>
          </w:p>
        </w:tc>
        <w:tc>
          <w:tcPr>
            <w:tcW w:type="dxa" w:w="238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为首屏 2s 性能基准补充来源与方法</w:t>
            </w:r>
          </w:p>
        </w:tc>
        <w:tc>
          <w:tcPr>
            <w:tcW w:type="dxa" w:w="3969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采纳：NFR-PERF-05 已改“内部目标＋非合同验收指标＋测试方法与环境见《测试文档》”</w:t>
            </w:r>
          </w:p>
        </w:tc>
        <w:tc>
          <w:tcPr>
            <w:tcW w:type="dxa" w:w="2381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SRS V1.1 表 4-1（见缺陷 V-02 行）</w:t>
            </w:r>
          </w:p>
        </w:tc>
      </w:tr>
    </w:tbl>
    <w:p>
      <w:pPr>
        <w:spacing w:after="80" w:lineRule="auto" w:line="312"/>
      </w:pPr>
      <w:r>
        <w:rPr>
          <w:rFonts w:ascii="黑体" w:hAnsi="黑体" w:eastAsia="黑体"/>
          <w:b/>
          <w:sz w:val="26"/>
        </w:rPr>
        <w:t>4  版本与归档说明</w:t>
      </w:r>
    </w:p>
    <w:p>
      <w:pPr>
        <w:spacing w:after="120" w:lineRule="auto" w:line="312"/>
        <w:jc w:val="both"/>
      </w:pPr>
      <w:r>
        <w:rPr>
          <w:rFonts w:ascii="宋体" w:hAnsi="宋体" w:eastAsia="宋体"/>
          <w:b w:val="0"/>
          <w:sz w:val="24"/>
        </w:rPr>
        <w:t>① 2026-10-20 项目交付包（延河课堂作业 4，提交次数 1/1 已封存）所含《需求规格说明书》为 V1.0，作为交付历史留档不变；② V1.1 为按评审意见跟踪改正后的版本，自本表提交之日起取代 V1.0 作为后续设计、测试与验收引用的需求基线；③ V1.0 原件归档于 SQA2_工作区/文档/归档_需求规格说明书_V1.0_20261018.docx；④ 本表与 V1.1 一并送 SQA1 复核。</w:t>
      </w:r>
    </w:p>
    <w:p>
      <w:pPr>
        <w:spacing w:after="80" w:lineRule="auto" w:line="312"/>
      </w:pPr>
      <w:r>
        <w:rPr>
          <w:rFonts w:ascii="黑体" w:hAnsi="黑体" w:eastAsia="黑体"/>
          <w:b/>
          <w:sz w:val="26"/>
        </w:rPr>
        <w:t>5  复核请示（DR 会后跟踪）</w:t>
      </w:r>
    </w:p>
    <w:p>
      <w:pPr>
        <w:spacing w:after="120" w:lineRule="auto" w:line="312"/>
        <w:jc w:val="both"/>
      </w:pPr>
      <w:r>
        <w:rPr>
          <w:rFonts w:ascii="宋体" w:hAnsi="宋体" w:eastAsia="宋体"/>
          <w:b w:val="0"/>
          <w:sz w:val="24"/>
        </w:rPr>
        <w:t>按正式设计评审流程（评审会议结论→DR 报告→措施完备清单→跟踪改正→复核关闭），现请 SQA1：① 对照本表“关闭证据”列逐项复核 V1.1 落点；② 复核通过后出具书面确认或组织第二轮评审，将结论由“部分批准（有条件批准）”转为“完全批准”；③ 如对个别项关闭证据有异议，请列明条目与理由，本组将限期整改并再次提交。联络：组长刘罡甫（SQA2）。</w:t>
      </w:r>
    </w:p>
    <w:p>
      <w:pPr>
        <w:spacing w:after="40" w:lineRule="auto" w:line="312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/>
        </w:trPr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角色</w:t>
            </w:r>
          </w:p>
        </w:tc>
        <w:tc>
          <w:tcPr>
            <w:tcW w:type="dxa" w:w="158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姓名</w:t>
            </w:r>
          </w:p>
        </w:tc>
        <w:tc>
          <w:tcPr>
            <w:tcW w:type="dxa" w:w="374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意见</w:t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/>
                <w:sz w:val="20"/>
              </w:rPr>
              <w:t>日期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编制（SQA2 组长）</w:t>
            </w:r>
          </w:p>
        </w:tc>
        <w:tc>
          <w:tcPr>
            <w:tcW w:type="dxa" w:w="158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刘罡甫</w:t>
            </w:r>
          </w:p>
        </w:tc>
        <w:tc>
          <w:tcPr>
            <w:tcW w:type="dxa" w:w="374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2026-10-26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批准（SQA2 组长）</w:t>
            </w:r>
          </w:p>
        </w:tc>
        <w:tc>
          <w:tcPr>
            <w:tcW w:type="dxa" w:w="158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刘罡甫</w:t>
            </w:r>
          </w:p>
        </w:tc>
        <w:tc>
          <w:tcPr>
            <w:tcW w:type="dxa" w:w="374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  <w:t>2026-10-26</w:t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复核（SQA1 评审组长）</w:t>
            </w:r>
          </w:p>
        </w:tc>
        <w:tc>
          <w:tcPr>
            <w:tcW w:type="dxa" w:w="158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74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  <w:tr>
        <w:tc>
          <w:tcPr>
            <w:tcW w:type="dxa" w:w="249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  <w:t>复核（SQA1 评审员）</w:t>
            </w:r>
          </w:p>
        </w:tc>
        <w:tc>
          <w:tcPr>
            <w:tcW w:type="dxa" w:w="1587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3742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  <w:tc>
          <w:tcPr>
            <w:tcW w:type="dxa" w:w="1474"/>
            <w:vAlign w:val="center"/>
            <w:tcMar>
              <w:top w:w="40" w:type="dxa"/>
              <w:left w:w="80" w:type="dxa"/>
              <w:bottom w:w="40" w:type="dxa"/>
              <w:right w:w="80" w:type="dxa"/>
            </w:tcMar>
          </w:tcPr>
          <w:p>
            <w:pPr>
              <w:spacing w:lineRule="auto" w:line="276"/>
              <w:jc w:val="center"/>
            </w:pPr>
            <w:r>
              <w:rPr>
                <w:rFonts w:ascii="宋体" w:hAnsi="宋体" w:eastAsia="宋体"/>
                <w:b w:val="0"/>
                <w:sz w:val="20"/>
              </w:rPr>
            </w:r>
          </w:p>
        </w:tc>
      </w:tr>
    </w:tbl>
    <w:p>
      <w:pPr>
        <w:spacing w:after="0" w:lineRule="auto" w:line="312"/>
      </w:pPr>
      <w:r>
        <w:rPr>
          <w:rFonts w:ascii="宋体" w:hAnsi="宋体" w:eastAsia="宋体"/>
          <w:b w:val="0"/>
          <w:sz w:val="20"/>
        </w:rPr>
        <w:t>说明：本表为 SQA2↔SQA1 需求阶段结对互评的会后跟踪文件，随《需求规格说明书_SQA2.docx》V1.1 一并归档。</w:t>
      </w:r>
    </w:p>
    <w:sectPr w:rsidR="00FC693F" w:rsidRPr="0006063C" w:rsidSect="00034616">
      <w:pgSz w:w="11906" w:h="16838"/>
      <w:pgMar w:top="1361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