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vAlign w:val="top"/>
          </w:tcPr>
          <w:p>
            <w:pPr>
              <w:spacing w:before="4448"/>
            </w:pPr>
          </w:p>
          <w:p>
            <w:pPr>
              <w:pBdr>
                <w:bottom w:val="single" w:color="529286" w:sz="6" w:space="8"/>
              </w:pBdr>
              <w:spacing w:after="500"/>
              <w:ind w:left="1200" w:right="800"/>
            </w:pPr>
            <w:r>
              <w:rPr>
                <w:rFonts w:ascii="Calibri" w:eastAsia="SimHei"/>
                <w:color w:val="529286"/>
                <w:spacing w:val="40"/>
                <w:sz w:val="18"/>
                <w:szCs w:val="18"/>
              </w:rPr>
              <w:t xml:space="preserve">R  E  Q  U  I  R  E  M  E  N  T     R  E  V  I  E  W     R  E  P  O  R  T</w:t>
            </w:r>
          </w:p>
          <w:p>
            <w:pPr>
              <w:spacing w:after="300" w:line="920" w:lineRule="atLeast"/>
              <w:ind w:left="1200"/>
            </w:pPr>
            <w:r>
              <w:rPr>
                <w:rFonts w:ascii="Arial" w:eastAsia="SimHei"/>
                <w:b/>
                <w:bCs/>
                <w:color w:val="FFFFFF"/>
                <w:sz w:val="80"/>
                <w:szCs w:val="80"/>
              </w:rPr>
              <w:t xml:space="preserve">需求评审报告</w:t>
            </w:r>
          </w:p>
          <w:p>
            <w:pPr>
              <w:spacing w:after="800"/>
              <w:ind w:left="1200"/>
            </w:pPr>
            <w:r>
              <w:rPr>
                <w:rFonts w:ascii="Arial" w:eastAsia="Microsoft YaHei"/>
                <w:color w:val="B0B8C0"/>
                <w:sz w:val="24"/>
                <w:szCs w:val="24"/>
              </w:rPr>
              <w:t xml:space="preserve">网络攻防对抗技术研究所管理系统 · 作业5 团队技术评审（需求阶段）</w:t>
            </w:r>
          </w:p>
          <w:p>
            <w:pPr>
              <w:pBdr>
                <w:left w:val="single" w:color="529286" w:sz="8" w:space="12"/>
              </w:pBdr>
              <w:spacing w:after="80"/>
              <w:ind w:left="1400"/>
            </w:pPr>
            <w:r>
              <w:rPr>
                <w:rFonts w:ascii="Arial" w:eastAsia="Microsoft YaHei"/>
                <w:color w:val="90989F"/>
                <w:sz w:val="24"/>
                <w:szCs w:val="24"/>
              </w:rPr>
              <w:t xml:space="preserve">评审方：SQA2 评审组</w:t>
            </w:r>
          </w:p>
          <w:p>
            <w:pPr>
              <w:pBdr>
                <w:left w:val="single" w:color="529286" w:sz="8" w:space="12"/>
              </w:pBdr>
              <w:spacing w:after="80"/>
              <w:ind w:left="1400"/>
            </w:pPr>
            <w:r>
              <w:rPr>
                <w:rFonts w:ascii="Arial" w:eastAsia="Microsoft YaHei"/>
                <w:color w:val="90989F"/>
                <w:sz w:val="24"/>
                <w:szCs w:val="24"/>
              </w:rPr>
              <w:t xml:space="preserve">被评审方：SQA1（课后作业4 交付物）</w:t>
            </w:r>
          </w:p>
          <w:p>
            <w:pPr>
              <w:pBdr>
                <w:left w:val="single" w:color="529286" w:sz="8" w:space="12"/>
              </w:pBdr>
              <w:spacing w:after="80"/>
              <w:ind w:left="1400"/>
            </w:pPr>
            <w:r>
              <w:rPr>
                <w:rFonts w:ascii="Arial" w:eastAsia="Microsoft YaHei"/>
                <w:color w:val="90989F"/>
                <w:sz w:val="24"/>
                <w:szCs w:val="24"/>
              </w:rPr>
              <w:t xml:space="preserve">评审对象：软件需求规格说明书_SQA1.docx</w:t>
            </w:r>
          </w:p>
          <w:p>
            <w:pPr>
              <w:pBdr>
                <w:left w:val="single" w:color="529286" w:sz="8" w:space="12"/>
              </w:pBdr>
              <w:spacing w:after="80"/>
              <w:ind w:left="1400"/>
            </w:pPr>
            <w:r>
              <w:rPr>
                <w:rFonts w:ascii="Arial" w:eastAsia="Microsoft YaHei"/>
                <w:color w:val="90989F"/>
                <w:sz w:val="24"/>
                <w:szCs w:val="24"/>
              </w:rPr>
              <w:t xml:space="preserve">评审结论：部分批准（有条件通过）</w:t>
            </w:r>
          </w:p>
          <w:p>
            <w:pPr>
              <w:pBdr>
                <w:left w:val="single" w:color="529286" w:sz="8" w:space="12"/>
              </w:pBdr>
              <w:spacing w:after="80"/>
              <w:ind w:left="1400"/>
            </w:pPr>
            <w:r>
              <w:rPr>
                <w:rFonts w:ascii="Arial" w:eastAsia="Microsoft YaHei"/>
                <w:color w:val="90989F"/>
                <w:sz w:val="24"/>
                <w:szCs w:val="24"/>
              </w:rPr>
              <w:t xml:space="preserve">版本 V1.6 · 2026 年 10 月 21 日</w:t>
            </w:r>
          </w:p>
          <w:p>
            <w:pPr>
              <w:spacing w:before="4448"/>
            </w:pPr>
          </w:p>
          <w:p>
            <w:pPr>
              <w:pBdr>
                <w:top w:val="single" w:color="529286" w:sz="2" w:space="8"/>
              </w:pBdr>
              <w:spacing w:before="200"/>
              <w:ind w:left="1200" w:right="800"/>
            </w:pPr>
            <w:r>
              <w:rPr>
                <w:rFonts w:ascii="Arial" w:eastAsia="Microsoft YaHei"/>
                <w:color w:val="687078"/>
                <w:sz w:val="16"/>
                <w:szCs w:val="16"/>
              </w:rPr>
              <w:t xml:space="preserve">北京理工大学《软件质量保障》课程（2026 秋）</w:t>
            </w:r>
            <w:r>
              <w:t xml:space="preserve">                                        </w:t>
            </w:r>
            <w:r>
              <w:rPr>
                <w:rFonts w:ascii="Arial"/>
                <w:color w:val="687078"/>
                <w:sz w:val="16"/>
                <w:szCs w:val="16"/>
              </w:rPr>
              <w:t xml:space="preserve">SQA2</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000000"/>
          <w:sz w:val="32"/>
          <w:szCs w:val="32"/>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评审概况</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评审过程</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2.1　会前准备（2026-10-20）</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spacing w:before="120" w:after="60"/>
          </w:pPr>
          <w:hyperlink w:anchor="_Toc100003" w:history="1">
            <w:r>
              <w:rPr>
                <w:rStyle w:val="Hyperlink"/>
              </w:rPr>
              <w:t>2.2　评审会议简况（2026-10-21）</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会后处理</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评审发现汇总</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3.1　值得肯定的方面</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问题清单</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5　评审结论</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5.1　改进方向要点</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6　后续行动与跟踪</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7　附录</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7.1　附录 A：范围外顺带观察</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7.2　附录 B：评审依据文件清单</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7.3　附录 C：评审组签字</w:t>
            </w:r>
            <w:r>
              <w:tab/>
            </w:r>
            <w:r>
              <w:fldChar w:fldCharType="begin"/>
            </w:r>
            <w:r>
              <w:instrText xml:space="preserve"> PAGEREF _Toc100014 \h </w:instrText>
            </w:r>
            <w:r>
              <w:fldChar w:fldCharType="separate"/>
            </w:r>
            <w:r>
              <w:t>8</w:t>
            </w:r>
            <w:r>
              <w:fldChar w:fldCharType="end"/>
            </w:r>
          </w:hyperlink>
        </w:p>
        <w:p>
          <w:r>
            <w:fldChar w:fldCharType="end"/>
          </w:r>
        </w:p>
      </w:sdtContent>
    </w:sdt>
    <w:p>
      <w:pPr>
        <w:spacing w:before="200"/>
      </w:pPr>
      <w:r>
        <w:rPr>
          <w:rFonts w:ascii="Times New Roman" w:eastAsia="SimSun"/>
          <w:i/>
          <w:iCs/>
          <w:color w:val="888888"/>
          <w:sz w:val="18"/>
          <w:szCs w:val="18"/>
        </w:rPr>
        <w:t xml:space="preserve">注：本目录由域代码生成。文档编辑后请右键目录并选择“更新域”以刷新页码。</w:t>
      </w:r>
    </w:p>
    <w:p>
      <w:pPr>
        <w:sectPr>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jc w:val="center"/>
      </w:pPr>
      <w:bookmarkStart w:id="100000" w:name="_Toc100000"/>
      <w:r>
        <w:rPr>
          <w:rFonts w:ascii="Times New Roman" w:eastAsia="SimHei"/>
          <w:b/>
          <w:bCs/>
          <w:color w:val="0B1C2C"/>
          <w:sz w:val="32"/>
          <w:szCs w:val="32"/>
        </w:rPr>
        <w:t xml:space="preserve">1　评审概况</w:t>
      </w:r>
      <w:bookmarkEnd w:id="100000"/>
    </w:p>
    <w:p>
      <w:pPr>
        <w:keepNext/>
        <w:spacing w:after="80" w:before="160" w:line="312"/>
        <w:jc w:val="center"/>
      </w:pPr>
      <w:r>
        <w:rPr>
          <w:rFonts w:ascii="Times New Roman" w:eastAsia="SimHei"/>
          <w:b/>
          <w:bCs/>
          <w:color w:val="000000"/>
          <w:sz w:val="21"/>
          <w:szCs w:val="21"/>
        </w:rPr>
        <w:t xml:space="preserve">表 3-1　评审基本信息</w:t>
      </w:r>
    </w:p>
    <w:tbl>
      <w:tblPr>
        <w:tblW w:type="pct" w:w="100%"/>
        <w:tblBorders>
          <w:top w:val="single" w:color="529286" w:sz="4"/>
          <w:left w:val="none" w:color="FFFFFF" w:sz="0"/>
          <w:bottom w:val="single" w:color="529286" w:sz="4"/>
          <w:right w:val="none" w:color="FFFFFF" w:sz="0"/>
          <w:insideH w:val="single" w:color="BECFCC" w:sz="1"/>
          <w:insideV w:val="single" w:color="BECFCC" w:sz="1"/>
        </w:tblBorders>
      </w:tblPr>
      <w:tblGrid>
        <w:gridCol w:w="100"/>
        <w:gridCol w:w="100"/>
      </w:tblGrid>
      <w:tr>
        <w:trPr>
          <w:cantSplit/>
          <w:tblHeader/>
        </w:trPr>
        <w:tc>
          <w:tcPr>
            <w:tcW w:type="pct" w:w="22%"/>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1"/>
                <w:szCs w:val="21"/>
              </w:rPr>
              <w:t xml:space="preserve">项目</w:t>
            </w:r>
          </w:p>
        </w:tc>
        <w:tc>
          <w:tcPr>
            <w:tcW w:type="pct" w:w="78%"/>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1"/>
                <w:szCs w:val="21"/>
              </w:rPr>
              <w:t xml:space="preserve">内容</w:t>
            </w:r>
          </w:p>
        </w:tc>
      </w:tr>
      <w:tr>
        <w:trPr>
          <w:cantSplit/>
        </w:trPr>
        <w:tc>
          <w:tcPr>
            <w:tcW w:type="pct" w:w="2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项目名称</w:t>
            </w:r>
          </w:p>
        </w:tc>
        <w:tc>
          <w:tcPr>
            <w:tcW w:type="pct" w:w="7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网络攻防对抗技术研究所管理系统（同题组互评：SQA1 与 SQA2 互相评审需求阶段）</w:t>
            </w:r>
          </w:p>
        </w:tc>
      </w:tr>
      <w:tr>
        <w:trPr>
          <w:cantSplit/>
        </w:trPr>
        <w:tc>
          <w:tcPr>
            <w:tcW w:type="pct" w:w="2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被评审方</w:t>
            </w:r>
          </w:p>
        </w:tc>
        <w:tc>
          <w:tcPr>
            <w:tcW w:type="pct" w:w="7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SQA1</w:t>
            </w:r>
          </w:p>
        </w:tc>
      </w:tr>
      <w:tr>
        <w:trPr>
          <w:cantSplit/>
        </w:trPr>
        <w:tc>
          <w:tcPr>
            <w:tcW w:type="pct" w:w="2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评审方</w:t>
            </w:r>
          </w:p>
        </w:tc>
        <w:tc>
          <w:tcPr>
            <w:tcW w:type="pct" w:w="7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SQA2 评审组（评审组长刘罡甫，评审员钟坤宇、杨峥、韦政治、陈彬）</w:t>
            </w:r>
          </w:p>
        </w:tc>
      </w:tr>
      <w:tr>
        <w:trPr>
          <w:cantSplit/>
        </w:trPr>
        <w:tc>
          <w:tcPr>
            <w:tcW w:type="pct" w:w="2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评审对象</w:t>
            </w:r>
          </w:p>
        </w:tc>
        <w:tc>
          <w:tcPr>
            <w:tcW w:type="pct" w:w="7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软件需求规格说明书_SQA1.docx（2026-10-20 版）；辅证材料见 2.1 节</w:t>
            </w:r>
          </w:p>
        </w:tc>
      </w:tr>
      <w:tr>
        <w:trPr>
          <w:cantSplit/>
        </w:trPr>
        <w:tc>
          <w:tcPr>
            <w:tcW w:type="pct" w:w="2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评审类型</w:t>
            </w:r>
          </w:p>
        </w:tc>
        <w:tc>
          <w:tcPr>
            <w:tcW w:type="pct" w:w="7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正式技术评审 · 需求规格评审（SRSR）</w:t>
            </w:r>
          </w:p>
        </w:tc>
      </w:tr>
      <w:tr>
        <w:trPr>
          <w:cantSplit/>
        </w:trPr>
        <w:tc>
          <w:tcPr>
            <w:tcW w:type="pct" w:w="2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会前核查</w:t>
            </w:r>
          </w:p>
        </w:tc>
        <w:tc>
          <w:tcPr>
            <w:tcW w:type="pct" w:w="7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2026-10-20（材料解包、检查表 49 项逐项判定，AI 辅助比对＋人工复核）</w:t>
            </w:r>
          </w:p>
        </w:tc>
      </w:tr>
      <w:tr>
        <w:trPr>
          <w:cantSplit/>
        </w:trPr>
        <w:tc>
          <w:tcPr>
            <w:tcW w:type="pct" w:w="2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评审会议</w:t>
            </w:r>
          </w:p>
        </w:tc>
        <w:tc>
          <w:tcPr>
            <w:tcW w:type="pct" w:w="7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2026-10-21 20:00～20:45，钉钉线上（主持刘罡甫，记录陈彬）</w:t>
            </w:r>
          </w:p>
        </w:tc>
      </w:tr>
      <w:tr>
        <w:trPr>
          <w:cantSplit/>
        </w:trPr>
        <w:tc>
          <w:tcPr>
            <w:tcW w:type="pct" w:w="2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评审依据</w:t>
            </w:r>
          </w:p>
        </w:tc>
        <w:tc>
          <w:tcPr>
            <w:tcW w:type="pct" w:w="7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业务需求框架 V3.3.1；两轮澄清口径（2026-09-29、2026-10-09、2026-10-11）；GB/T 8567-2006 7.11（核验为现行最新版）；GB/T 9385-2008（SRS 专用国标，八项特性基准）；GB/T 45802-2025（最新需求工程国标，前瞻参考）；IEEE 830-1998；课件 Oct 13／Oct 20（编号 Y1～Y9，见评审计划表 1-1）</w:t>
            </w:r>
          </w:p>
        </w:tc>
      </w:tr>
      <w:tr>
        <w:trPr>
          <w:cantSplit/>
        </w:trPr>
        <w:tc>
          <w:tcPr>
            <w:tcW w:type="pct" w:w="2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评审结论</w:t>
            </w:r>
          </w:p>
        </w:tc>
        <w:tc>
          <w:tcPr>
            <w:tcW w:type="pct" w:w="7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部分批准（有条件通过），详见第 5 章</w:t>
            </w:r>
          </w:p>
        </w:tc>
      </w:tr>
    </w:tbl>
    <w:p>
      <w:pPr>
        <w:pStyle w:val="Heading1"/>
        <w:spacing w:after="160" w:before="360" w:line="312"/>
        <w:jc w:val="center"/>
      </w:pPr>
      <w:bookmarkStart w:id="100001" w:name="_Toc100001"/>
      <w:r>
        <w:rPr>
          <w:rFonts w:ascii="Times New Roman" w:eastAsia="SimHei"/>
          <w:b/>
          <w:bCs/>
          <w:color w:val="0B1C2C"/>
          <w:sz w:val="32"/>
          <w:szCs w:val="32"/>
        </w:rPr>
        <w:t xml:space="preserve">2　评审过程</w:t>
      </w:r>
      <w:bookmarkEnd w:id="100001"/>
    </w:p>
    <w:p>
      <w:pPr>
        <w:pStyle w:val="Heading2"/>
        <w:spacing w:after="120" w:before="240" w:line="312"/>
      </w:pPr>
      <w:bookmarkStart w:id="100002" w:name="_Toc100002"/>
      <w:r>
        <w:rPr>
          <w:rFonts w:ascii="Times New Roman" w:eastAsia="SimHei"/>
          <w:b/>
          <w:bCs/>
          <w:color w:val="0B1C2C"/>
          <w:sz w:val="28"/>
          <w:szCs w:val="28"/>
        </w:rPr>
        <w:t xml:space="preserve">2.1　会前准备（2026-10-20）</w:t>
      </w:r>
      <w:bookmarkEnd w:id="100002"/>
    </w:p>
    <w:p>
      <w:pPr>
        <w:spacing w:after="60" w:line="312"/>
        <w:ind w:firstLine="480"/>
        <w:jc w:val="both"/>
      </w:pPr>
      <w:r>
        <w:rPr>
          <w:rFonts w:ascii="Times New Roman" w:eastAsia="SimSun"/>
          <w:b w:val="false"/>
          <w:bCs w:val="false"/>
          <w:color w:val="000000"/>
          <w:sz w:val="24"/>
          <w:szCs w:val="24"/>
        </w:rPr>
        <w:t xml:space="preserve">材料清点：解包课后作业4_SQA1.zip，含文档 5 份（软件需求规格说明书、软件设计说明书、产品手册、测试文档、技术开发合同 .doc）、Go＋SQLite 工程 ndi-system（含源码、docs 四份说明、dist 编译产物、data 演示库）与演示视频 1 部。</w:t>
      </w:r>
    </w:p>
    <w:p>
      <w:pPr>
        <w:spacing w:after="60" w:line="312"/>
        <w:ind w:firstLine="480"/>
        <w:jc w:val="both"/>
      </w:pPr>
      <w:r>
        <w:rPr>
          <w:rFonts w:ascii="Times New Roman" w:eastAsia="SimSun"/>
          <w:b w:val="false"/>
          <w:bCs w:val="false"/>
          <w:color w:val="000000"/>
          <w:sz w:val="24"/>
          <w:szCs w:val="24"/>
        </w:rPr>
        <w:t xml:space="preserve">核查方法：以需求框架 V3.3.1 与澄清口径为基准，对 SRS 全文逐条比对；同时采集实现侧证据（docs／需求对照表.md、internal／validate 校验源码、README、测试文档），用于判定 SRS 与实现是否同源。比对过程使用 AI 辅助工具（ZCode）完成条款级自动核对，49 项检查结论全部经人工复核——评审组长负责 A 组（文档结构）与 D 组（业务规则口径）复核并承担统稿落改，四名评审员按分工分域核查（钟坤宇＝B3～B9、杨峥＝B10～B15、韦政治＝C／E 组、陈彬＝D／F 组，意见原文存于 组员核查意见/ 目录）；每条问题按“位置—原文引用—依据—影响—修订建议”体例引证（定位引用写法参照作业3 讲评样例评审意见）。依据四份核查意见共修订 22 项证据表述与 3 项判定（E1、B12、B15 改判部分符合）。</w:t>
      </w:r>
    </w:p>
    <w:p>
      <w:pPr>
        <w:spacing w:after="60" w:line="312"/>
        <w:ind w:firstLine="480"/>
        <w:jc w:val="both"/>
      </w:pPr>
      <w:r>
        <w:rPr>
          <w:rFonts w:ascii="Times New Roman" w:eastAsia="SimSun"/>
          <w:b w:val="false"/>
          <w:bCs w:val="false"/>
          <w:color w:val="000000"/>
          <w:sz w:val="24"/>
          <w:szCs w:val="24"/>
        </w:rPr>
        <w:t xml:space="preserve">国标版本核验（2026-10-20，全国标准信息公共服务平台）：老师下发的 GB/T 8567-2006 为现行最新版（未被替代）；本评审同时引入 SRS 专用现行国标 GB/T 9385-2008（与被评审 SRS 自声明遵循的 IEEE 830-1998 同源，其第 4.4 节好的 SRS 八项特性——正确、无歧义、完备、一致、重要性和稳定性分级、可验证、可修改、可追踪——用作质量基准，与检查表 A～F 组的映射见检查表使用说明），并以 GB/T 45802-2025（等同采用 ISO/IEC/IEEE 29148:2018，2025-12-01 实施的现行最新需求工程国标）作前瞻参考；对 SRS 产品的判定以 Y4／Y5／Y8 为准。</w:t>
      </w:r>
    </w:p>
    <w:p>
      <w:pPr>
        <w:pStyle w:val="Heading2"/>
        <w:spacing w:after="120" w:before="240" w:line="312"/>
      </w:pPr>
      <w:bookmarkStart w:id="100003" w:name="_Toc100003"/>
      <w:r>
        <w:rPr>
          <w:rFonts w:ascii="Times New Roman" w:eastAsia="SimHei"/>
          <w:b/>
          <w:bCs/>
          <w:color w:val="0B1C2C"/>
          <w:sz w:val="28"/>
          <w:szCs w:val="28"/>
        </w:rPr>
        <w:t xml:space="preserve">2.2　评审会议简况（2026-10-21）</w:t>
      </w:r>
      <w:bookmarkEnd w:id="100003"/>
    </w:p>
    <w:p>
      <w:pPr>
        <w:spacing w:after="60" w:line="312"/>
        <w:ind w:firstLine="480"/>
        <w:jc w:val="both"/>
      </w:pPr>
      <w:r>
        <w:rPr>
          <w:rFonts w:ascii="Times New Roman" w:eastAsia="SimSun"/>
          <w:b w:val="false"/>
          <w:bCs w:val="false"/>
          <w:color w:val="000000"/>
          <w:sz w:val="24"/>
          <w:szCs w:val="24"/>
        </w:rPr>
        <w:t xml:space="preserve">评审组于 2026-10-21 20:00～20:45 召开钉钉线上评审会议（主持刘罡甫，记录陈彬，应到 5 人实到 5 人）。会议议程：材料与分工确认→检查表六组结论通报（符合 10、部分符合 14、不符合 25，其中 E1、B12、B15 经组员核查改判）→严重问题 P01～P08 逐条引证表决→一般／轻微问题分级确认→定性讨论与裁决→结论表决→后续行动分派。五则关键裁决：其一，借阅与签到条款按框架判定 SRS 错误、实现更贴近框架（P06 的实现审批路由仍放行系统管理员，与框架口径有出入，见该条），定性为正式文档失真而非理解错误；其二，无出处量化指标定性为自设验收风险，处理方式为两级标注而非全部删除；其三，B6～B8 的判定对象为 SRS 文本而非实现（实现按框架恰为 F1／F2 失真证据）；其四，E1 可验证性由“符合”改判“部分符合”；其五，B12、B15 依杨峥复核改判“部分符合”。P01～P17 全票（5/5）确认成立，结论表决为部分批准。逐条表决记录、讨论要点与签到表见《评审会议记录_SQA2》。</w:t>
      </w:r>
    </w:p>
    <w:p>
      <w:pPr>
        <w:pStyle w:val="Heading2"/>
        <w:spacing w:after="120" w:before="240" w:line="312"/>
      </w:pPr>
      <w:bookmarkStart w:id="100004" w:name="_Toc100004"/>
      <w:r>
        <w:rPr>
          <w:rFonts w:ascii="Times New Roman" w:eastAsia="SimHei"/>
          <w:b/>
          <w:bCs/>
          <w:color w:val="0B1C2C"/>
          <w:sz w:val="28"/>
          <w:szCs w:val="28"/>
        </w:rPr>
        <w:t xml:space="preserve">2.3　会后处理</w:t>
      </w:r>
      <w:bookmarkEnd w:id="100004"/>
    </w:p>
    <w:p>
      <w:pPr>
        <w:spacing w:after="60" w:line="312"/>
        <w:ind w:firstLine="480"/>
        <w:jc w:val="both"/>
      </w:pPr>
      <w:r>
        <w:rPr>
          <w:rFonts w:ascii="Times New Roman" w:eastAsia="SimSun"/>
          <w:b w:val="false"/>
          <w:bCs w:val="false"/>
          <w:color w:val="000000"/>
          <w:sz w:val="24"/>
          <w:szCs w:val="24"/>
        </w:rPr>
        <w:t xml:space="preserve">2026-10-21 评审会议后由评审组长汇总组员核查意见、修订定稿本报告并经组内确认；2026-10-23 12:00 前将评审材料四件套打包为作业5_SQA2.zip 提交延河课堂。评审材料同步反馈 SQA1（经课堂或讨论区渠道），供其修订 SRS 时参考。</w:t>
      </w:r>
    </w:p>
    <w:p>
      <w:pPr>
        <w:pStyle w:val="Heading1"/>
        <w:spacing w:after="160" w:before="360" w:line="312"/>
        <w:jc w:val="center"/>
      </w:pPr>
      <w:bookmarkStart w:id="100005" w:name="_Toc100005"/>
      <w:r>
        <w:rPr>
          <w:rFonts w:ascii="Times New Roman" w:eastAsia="SimHei"/>
          <w:b/>
          <w:bCs/>
          <w:color w:val="0B1C2C"/>
          <w:sz w:val="32"/>
          <w:szCs w:val="32"/>
        </w:rPr>
        <w:t xml:space="preserve">3　评审发现汇总</w:t>
      </w:r>
      <w:bookmarkEnd w:id="100005"/>
    </w:p>
    <w:p>
      <w:pPr>
        <w:keepNext/>
        <w:spacing w:after="80" w:before="160" w:line="312"/>
        <w:jc w:val="center"/>
      </w:pPr>
      <w:r>
        <w:rPr>
          <w:rFonts w:ascii="Times New Roman" w:eastAsia="SimHei"/>
          <w:b/>
          <w:bCs/>
          <w:color w:val="000000"/>
          <w:sz w:val="21"/>
          <w:szCs w:val="21"/>
        </w:rPr>
        <w:t xml:space="preserve">表 3-2　问题分级统计（共 17 项）</w:t>
      </w:r>
    </w:p>
    <w:tbl>
      <w:tblPr>
        <w:tblW w:type="pct" w:w="100%"/>
        <w:tblBorders>
          <w:top w:val="single" w:color="529286" w:sz="4"/>
          <w:left w:val="none" w:color="FFFFFF" w:sz="0"/>
          <w:bottom w:val="single" w:color="529286" w:sz="4"/>
          <w:right w:val="none" w:color="FFFFFF" w:sz="0"/>
          <w:insideH w:val="single" w:color="BECFCC" w:sz="1"/>
          <w:insideV w:val="single" w:color="BECFCC" w:sz="1"/>
        </w:tblBorders>
      </w:tblPr>
      <w:tblGrid>
        <w:gridCol w:w="100"/>
        <w:gridCol w:w="100"/>
        <w:gridCol w:w="100"/>
        <w:gridCol w:w="100"/>
        <w:gridCol w:w="100"/>
      </w:tblGrid>
      <w:tr>
        <w:trPr>
          <w:cantSplit/>
          <w:tblHeader/>
        </w:trPr>
        <w:tc>
          <w:tcPr>
            <w:tcW w:type="pct" w:w="40%"/>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1"/>
                <w:szCs w:val="21"/>
              </w:rPr>
              <w:t xml:space="preserve">类别</w:t>
            </w:r>
          </w:p>
        </w:tc>
        <w:tc>
          <w:tcPr>
            <w:tcW w:type="pct" w:w="15%"/>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1"/>
                <w:szCs w:val="21"/>
              </w:rPr>
              <w:t xml:space="preserve">严重</w:t>
            </w:r>
          </w:p>
        </w:tc>
        <w:tc>
          <w:tcPr>
            <w:tcW w:type="pct" w:w="15%"/>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1"/>
                <w:szCs w:val="21"/>
              </w:rPr>
              <w:t xml:space="preserve">一般</w:t>
            </w:r>
          </w:p>
        </w:tc>
        <w:tc>
          <w:tcPr>
            <w:tcW w:type="pct" w:w="15%"/>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1"/>
                <w:szCs w:val="21"/>
              </w:rPr>
              <w:t xml:space="preserve">轻微</w:t>
            </w:r>
          </w:p>
        </w:tc>
        <w:tc>
          <w:tcPr>
            <w:tcW w:type="pct" w:w="15%"/>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1"/>
                <w:szCs w:val="21"/>
              </w:rPr>
              <w:t xml:space="preserve">小计</w:t>
            </w:r>
          </w:p>
        </w:tc>
      </w:tr>
      <w:tr>
        <w:trPr>
          <w:cantSplit/>
        </w:trPr>
        <w:tc>
          <w:tcPr>
            <w:tcW w:type="pct" w:w="4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与上位文档的业务规则冲突</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5</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0</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0</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5</w:t>
            </w:r>
          </w:p>
        </w:tc>
      </w:tr>
      <w:tr>
        <w:trPr>
          <w:cantSplit/>
        </w:trPr>
        <w:tc>
          <w:tcPr>
            <w:tcW w:type="pct" w:w="4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关键需求缺失（数据规则、隐私、导入等）</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2</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3</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0</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5</w:t>
            </w:r>
          </w:p>
        </w:tc>
      </w:tr>
      <w:tr>
        <w:trPr>
          <w:cantSplit/>
        </w:trPr>
        <w:tc>
          <w:tcPr>
            <w:tcW w:type="pct" w:w="4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文档失真与一致性（SRS 与实现／内部文档）</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1</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0</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0</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1</w:t>
            </w:r>
          </w:p>
        </w:tc>
      </w:tr>
      <w:tr>
        <w:trPr>
          <w:cantSplit/>
        </w:trPr>
        <w:tc>
          <w:tcPr>
            <w:tcW w:type="pct" w:w="4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结构与可追踪性要素</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0</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2</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2</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4</w:t>
            </w:r>
          </w:p>
        </w:tc>
      </w:tr>
      <w:tr>
        <w:trPr>
          <w:cantSplit/>
        </w:trPr>
        <w:tc>
          <w:tcPr>
            <w:tcW w:type="pct" w:w="4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范围控制与指标溯源</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0</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1</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1</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2</w:t>
            </w:r>
          </w:p>
        </w:tc>
      </w:tr>
      <w:tr>
        <w:trPr>
          <w:cantSplit/>
        </w:trPr>
        <w:tc>
          <w:tcPr>
            <w:tcW w:type="pct" w:w="4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合计</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8</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6</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3</w:t>
            </w:r>
          </w:p>
        </w:tc>
        <w:tc>
          <w:tcPr>
            <w:tcW w:type="pct" w:w="15%"/>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17</w:t>
            </w:r>
          </w:p>
        </w:tc>
      </w:tr>
    </w:tbl>
    <w:p>
      <w:pPr>
        <w:pStyle w:val="Heading2"/>
        <w:spacing w:after="120" w:before="240" w:line="312"/>
      </w:pPr>
      <w:bookmarkStart w:id="100006" w:name="_Toc100006"/>
      <w:r>
        <w:rPr>
          <w:rFonts w:ascii="Times New Roman" w:eastAsia="SimHei"/>
          <w:b/>
          <w:bCs/>
          <w:color w:val="0B1C2C"/>
          <w:sz w:val="28"/>
          <w:szCs w:val="28"/>
        </w:rPr>
        <w:t xml:space="preserve">3.1　值得肯定的方面</w:t>
      </w:r>
      <w:bookmarkEnd w:id="100006"/>
    </w:p>
    <w:p>
      <w:pPr>
        <w:spacing w:after="60" w:line="312"/>
        <w:jc w:val="both"/>
      </w:pPr>
      <w:r>
        <w:rPr>
          <w:rFonts w:ascii="Times New Roman" w:eastAsia="SimSun"/>
          <w:b w:val="false"/>
          <w:bCs w:val="false"/>
          <w:color w:val="000000"/>
          <w:sz w:val="24"/>
          <w:szCs w:val="24"/>
        </w:rPr>
        <w:t xml:space="preserve">（1）结构规范：严格按 IEEE 830-1998 五章组织，4.1 节的优先级／成本／利益／风险表与 4.2 节激励／响应序列在同类文档中少见；非功能需求大量量化（并发、响应、备份恢复等），可验证性总体较好（少数定性表述无判据，见检查表 E1），符合“以可定义客观测试的方式陈述需求”的主体要求。</w:t>
      </w:r>
    </w:p>
    <w:p>
      <w:pPr>
        <w:spacing w:after="60" w:line="312"/>
        <w:jc w:val="both"/>
      </w:pPr>
      <w:r>
        <w:rPr>
          <w:rFonts w:ascii="Times New Roman" w:eastAsia="SimSun"/>
          <w:b w:val="false"/>
          <w:bCs w:val="false"/>
          <w:color w:val="000000"/>
          <w:sz w:val="24"/>
          <w:szCs w:val="24"/>
        </w:rPr>
        <w:t xml:space="preserve">（2）外部接口需求四分法（用户、硬件、软件、通信）齐备，多数团队易遗漏的部分覆盖完整。</w:t>
      </w:r>
    </w:p>
    <w:p>
      <w:pPr>
        <w:spacing w:after="60" w:line="312"/>
        <w:jc w:val="both"/>
      </w:pPr>
      <w:r>
        <w:rPr>
          <w:rFonts w:ascii="Times New Roman" w:eastAsia="SimSun"/>
          <w:b w:val="false"/>
          <w:bCs w:val="false"/>
          <w:color w:val="000000"/>
          <w:sz w:val="24"/>
          <w:szCs w:val="24"/>
        </w:rPr>
        <w:t xml:space="preserve">（3）安全性需求体系化（口令哈希、RBAC、HTTPS、限流、注入防护）并主动定义日志审计，工程意识突出。</w:t>
      </w:r>
    </w:p>
    <w:p>
      <w:pPr>
        <w:spacing w:after="60" w:line="312"/>
        <w:jc w:val="both"/>
      </w:pPr>
      <w:r>
        <w:rPr>
          <w:rFonts w:ascii="Times New Roman" w:eastAsia="SimSun"/>
          <w:b w:val="false"/>
          <w:bCs w:val="false"/>
          <w:color w:val="000000"/>
          <w:sz w:val="24"/>
          <w:szCs w:val="24"/>
        </w:rPr>
        <w:t xml:space="preserve">（4）随附代码库 docs／需求对照表.md 按框架逐条追踪到实现位置、AI 使用说明独立成文，需求管理实践在互评各组中处于领先水平。</w:t>
      </w:r>
    </w:p>
    <w:p>
      <w:pPr>
        <w:spacing w:after="60" w:line="312"/>
        <w:jc w:val="both"/>
      </w:pPr>
      <w:r>
        <w:rPr>
          <w:rFonts w:ascii="Times New Roman" w:eastAsia="SimSun"/>
          <w:b w:val="false"/>
          <w:bCs w:val="false"/>
          <w:color w:val="000000"/>
          <w:sz w:val="24"/>
          <w:szCs w:val="24"/>
        </w:rPr>
        <w:t xml:space="preserve">（5）实现与内部文档证明团队对需求框架的理解准确：登录自动签到、上限 2 本可配置、不续借、归还 5 天冷却、违规确认制、照片在线检测等均按框架与澄清口径实现——这同时说明 SRS 的偏离属文本维护问题而非理解问题，修订成本可控。</w:t>
      </w:r>
    </w:p>
    <w:p>
      <w:pPr>
        <w:pStyle w:val="Heading1"/>
        <w:spacing w:after="160" w:before="360" w:line="312"/>
        <w:jc w:val="center"/>
      </w:pPr>
      <w:bookmarkStart w:id="100007" w:name="_Toc100007"/>
      <w:r>
        <w:rPr>
          <w:rFonts w:ascii="Times New Roman" w:eastAsia="SimHei"/>
          <w:b/>
          <w:bCs/>
          <w:color w:val="0B1C2C"/>
          <w:sz w:val="32"/>
          <w:szCs w:val="32"/>
        </w:rPr>
        <w:t xml:space="preserve">4　问题清单</w:t>
      </w:r>
      <w:bookmarkEnd w:id="100007"/>
    </w:p>
    <w:p>
      <w:pPr>
        <w:spacing w:after="40" w:line="312"/>
        <w:ind w:firstLine="480"/>
        <w:jc w:val="both"/>
      </w:pPr>
      <w:r>
        <w:rPr>
          <w:rFonts w:ascii="Times New Roman" w:eastAsia="SimSun"/>
          <w:b w:val="false"/>
          <w:bCs w:val="false"/>
          <w:color w:val="000000"/>
          <w:sz w:val="24"/>
          <w:szCs w:val="24"/>
        </w:rPr>
        <w:t xml:space="preserve">问题按严重、一般、轻微分级，编号 P01～P17 与检查表结论对应。每项按“位置→SRS 原文引用→依据（上位文档原文）→影响→修订建议”的体例引证（定位引用写法参照作业3 讲评样例 SQA8／SQA10 评审意见），引号内均为被评审文档或基准文档原文，可直接复核。</w:t>
      </w:r>
    </w:p>
    <w:p>
      <w:pPr>
        <w:keepNext/>
        <w:spacing w:after="80" w:before="160" w:line="312"/>
        <w:jc w:val="center"/>
      </w:pPr>
      <w:r>
        <w:rPr>
          <w:rFonts w:ascii="Times New Roman" w:eastAsia="SimHei"/>
          <w:b/>
          <w:bCs/>
          <w:color w:val="000000"/>
          <w:sz w:val="21"/>
          <w:szCs w:val="21"/>
        </w:rPr>
        <w:t xml:space="preserve">表 3-3　严重问题（P01～P08）</w:t>
      </w:r>
    </w:p>
    <w:tbl>
      <w:tblPr>
        <w:tblW w:type="pct" w:w="100%"/>
        <w:tblBorders>
          <w:top w:val="single" w:color="529286" w:sz="4"/>
          <w:left w:val="none" w:color="FFFFFF" w:sz="0"/>
          <w:bottom w:val="single" w:color="529286" w:sz="4"/>
          <w:right w:val="none" w:color="FFFFFF" w:sz="0"/>
          <w:insideH w:val="single" w:color="BECFCC" w:sz="1"/>
          <w:insideV w:val="single" w:color="BECFCC" w:sz="1"/>
        </w:tblBorders>
      </w:tblPr>
      <w:tblGrid>
        <w:gridCol w:w="100"/>
        <w:gridCol w:w="100"/>
        <w:gridCol w:w="100"/>
      </w:tblGrid>
      <w:tr>
        <w:trPr>
          <w:cantSplit/>
          <w:tblHeader/>
        </w:trPr>
        <w:tc>
          <w:tcPr>
            <w:tcW w:type="pct" w:w="12%"/>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编号</w:t>
            </w:r>
          </w:p>
        </w:tc>
        <w:tc>
          <w:tcPr>
            <w:tcW w:type="pct" w:w="56%"/>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问题与依据</w:t>
            </w:r>
          </w:p>
        </w:tc>
        <w:tc>
          <w:tcPr>
            <w:tcW w:type="pct" w:w="32%"/>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修订建议</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P01</w:t>
            </w:r>
          </w:p>
          <w:p>
            <w:pPr>
              <w:spacing w:after="20" w:before="20" w:line="276"/>
              <w:jc w:val="center"/>
            </w:pPr>
            <w:r>
              <w:rPr>
                <w:rFonts w:ascii="Times New Roman" w:eastAsia="SimSun"/>
                <w:b/>
                <w:bCs/>
                <w:color w:val="000000"/>
                <w:sz w:val="20"/>
                <w:szCs w:val="20"/>
              </w:rPr>
              <w:t xml:space="preserve">严重</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位置：5.5 节（另见 4.3.2.2 节）</w:t>
            </w:r>
          </w:p>
          <w:p>
            <w:pPr>
              <w:spacing w:after="20" w:before="20" w:line="276"/>
              <w:jc w:val="left"/>
            </w:pPr>
            <w:r>
              <w:rPr>
                <w:rFonts w:ascii="Times New Roman" w:eastAsia="SimSun"/>
                <w:b w:val="false"/>
                <w:bCs w:val="false"/>
                <w:color w:val="000000"/>
                <w:sz w:val="20"/>
                <w:szCs w:val="20"/>
              </w:rPr>
              <w:t xml:space="preserve">SRS 原文：“学生用户每次限借3本，教师用户每次限借5本；每本图书借期为30天，支持续借1次（续借期7天）。”</w:t>
            </w:r>
          </w:p>
          <w:p>
            <w:pPr>
              <w:spacing w:after="20" w:before="20" w:line="276"/>
              <w:jc w:val="left"/>
            </w:pPr>
            <w:r>
              <w:rPr>
                <w:rFonts w:ascii="Times New Roman" w:eastAsia="SimSun"/>
                <w:b w:val="false"/>
                <w:bCs w:val="false"/>
                <w:color w:val="000000"/>
                <w:sz w:val="20"/>
                <w:szCs w:val="20"/>
              </w:rPr>
              <w:t xml:space="preserve">依据：框架 §3.2.1.2.2：“研究所教师、学生对于研究所图书借阅数量的限制暂时设置为最高2本”，且“建议系统为研究所内负责图书资料管理工作的教师提供对图书借阅数量上限进行设置的功能”。</w:t>
            </w:r>
          </w:p>
          <w:p>
            <w:pPr>
              <w:spacing w:after="20" w:before="20" w:line="276"/>
              <w:jc w:val="left"/>
            </w:pPr>
            <w:r>
              <w:rPr>
                <w:rFonts w:ascii="Times New Roman" w:eastAsia="SimSun"/>
                <w:b w:val="false"/>
                <w:bCs w:val="false"/>
                <w:color w:val="000000"/>
                <w:sz w:val="20"/>
                <w:szCs w:val="20"/>
              </w:rPr>
              <w:t xml:space="preserve">影响：上限数值与学生／教师分档均无上位依据，且丢失“上限可配置”要求；实现侧 BookSetting 默认 2 本、管理端可设置（随附需求对照表），SRS 与实现相反。</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改为默认 2 本、由图书管理教师可配置；删除学生／教师分档。</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P02</w:t>
            </w:r>
          </w:p>
          <w:p>
            <w:pPr>
              <w:spacing w:after="20" w:before="20" w:line="276"/>
              <w:jc w:val="center"/>
            </w:pPr>
            <w:r>
              <w:rPr>
                <w:rFonts w:ascii="Times New Roman" w:eastAsia="SimSun"/>
                <w:b/>
                <w:bCs/>
                <w:color w:val="000000"/>
                <w:sz w:val="20"/>
                <w:szCs w:val="20"/>
              </w:rPr>
              <w:t xml:space="preserve">严重</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位置：5.5 节</w:t>
            </w:r>
          </w:p>
          <w:p>
            <w:pPr>
              <w:spacing w:after="20" w:before="20" w:line="276"/>
              <w:jc w:val="left"/>
            </w:pPr>
            <w:r>
              <w:rPr>
                <w:rFonts w:ascii="Times New Roman" w:eastAsia="SimSun"/>
                <w:b w:val="false"/>
                <w:bCs w:val="false"/>
                <w:color w:val="000000"/>
                <w:sz w:val="20"/>
                <w:szCs w:val="20"/>
              </w:rPr>
              <w:t xml:space="preserve">SRS 原文：“支持续借1次（续借期7天）。”</w:t>
            </w:r>
          </w:p>
          <w:p>
            <w:pPr>
              <w:spacing w:after="20" w:before="20" w:line="276"/>
              <w:jc w:val="left"/>
            </w:pPr>
            <w:r>
              <w:rPr>
                <w:rFonts w:ascii="Times New Roman" w:eastAsia="SimSun"/>
                <w:b w:val="false"/>
                <w:bCs w:val="false"/>
                <w:color w:val="000000"/>
                <w:sz w:val="20"/>
                <w:szCs w:val="20"/>
              </w:rPr>
              <w:t xml:space="preserve">依据：框架 §3.2.1.2.2 明文：“研究所图书不提供续借服务”；同条并规定“图书归还5天后仍没有人借阅，该教师、同学可以再次借阅同一图书”（5 个自然日冷却期，SRS 亦未定义）。</w:t>
            </w:r>
          </w:p>
          <w:p>
            <w:pPr>
              <w:spacing w:after="20" w:before="20" w:line="276"/>
              <w:jc w:val="left"/>
            </w:pPr>
            <w:r>
              <w:rPr>
                <w:rFonts w:ascii="Times New Roman" w:eastAsia="SimSun"/>
                <w:b w:val="false"/>
                <w:bCs w:val="false"/>
                <w:color w:val="000000"/>
                <w:sz w:val="20"/>
                <w:szCs w:val="20"/>
              </w:rPr>
              <w:t xml:space="preserve">影响：与框架禁止性条款直接冲突；冷却期规则同样缺失（经组员核查并入本条，避免遗漏）；实现无续借入口（需求对照表“不提供续借；归还5天后无人借阅方可再借同一图书”）。</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删除续借条款；补归还后 5 个自然日同书再借冷却规则。</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P03</w:t>
            </w:r>
          </w:p>
          <w:p>
            <w:pPr>
              <w:spacing w:after="20" w:before="20" w:line="276"/>
              <w:jc w:val="center"/>
            </w:pPr>
            <w:r>
              <w:rPr>
                <w:rFonts w:ascii="Times New Roman" w:eastAsia="SimSun"/>
                <w:b/>
                <w:bCs/>
                <w:color w:val="000000"/>
                <w:sz w:val="20"/>
                <w:szCs w:val="20"/>
              </w:rPr>
              <w:t xml:space="preserve">严重</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位置：4.3.2.2、5.5 节</w:t>
            </w:r>
          </w:p>
          <w:p>
            <w:pPr>
              <w:spacing w:after="20" w:before="20" w:line="276"/>
              <w:jc w:val="left"/>
            </w:pPr>
            <w:r>
              <w:rPr>
                <w:rFonts w:ascii="Times New Roman" w:eastAsia="SimSun"/>
                <w:b w:val="false"/>
                <w:bCs w:val="false"/>
                <w:color w:val="000000"/>
                <w:sz w:val="20"/>
                <w:szCs w:val="20"/>
              </w:rPr>
              <w:t xml:space="preserve">SRS 原文：“系统必须记录用户诚信档案（逾期次数、损坏记录），并据此限制借阅权限（如逾期3次暂停借阅1个月）”“用户逾期未还将按天扣除信用分，信用分低于阈值时将临时限制借阅权限。”</w:t>
            </w:r>
          </w:p>
          <w:p>
            <w:pPr>
              <w:spacing w:after="20" w:before="20" w:line="276"/>
              <w:jc w:val="left"/>
            </w:pPr>
            <w:r>
              <w:rPr>
                <w:rFonts w:ascii="Times New Roman" w:eastAsia="SimSun"/>
                <w:b w:val="false"/>
                <w:bCs w:val="false"/>
                <w:color w:val="000000"/>
                <w:sz w:val="20"/>
                <w:szCs w:val="20"/>
              </w:rPr>
              <w:t xml:space="preserve">依据：框架 §3.2.1.2.2：“图书管理员教师电话沟通该借阅人后，系统在该借阅人的诚信记录中记录违规1次。若借阅人的诚信记录中有超过3次的未按期归还记录，则研究所不再向该借阅人开放图书借阅服务”；2026-10-11 澄清第 8 条：“先（管理员）确认再记录；违规记录不清除、系统保留”。</w:t>
            </w:r>
          </w:p>
          <w:p>
            <w:pPr>
              <w:spacing w:after="20" w:before="20" w:line="276"/>
              <w:jc w:val="left"/>
            </w:pPr>
            <w:r>
              <w:rPr>
                <w:rFonts w:ascii="Times New Roman" w:eastAsia="SimSun"/>
                <w:b w:val="false"/>
                <w:bCs w:val="false"/>
                <w:color w:val="000000"/>
                <w:sz w:val="20"/>
                <w:szCs w:val="20"/>
              </w:rPr>
              <w:t xml:space="preserve">影响：信用分自动扣分制丢失“确认—记录—不可清除—超 3 次永久停借”四个关键语义；实现为违规次数与待确认队列，但设计含“管理员核实后可撤销一次违规”机制（设计说明书“诚信管理”节），与澄清口径“记录不清除”亦不一致，应一并修订。</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按框架改为确认制记次＋记录不可清除＋超 3 次停借（撤销机制如需保留，标注为扩展并经甲方确认）；信用分与损坏记录如需保留，标注为扩展并经甲方确认。</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P04</w:t>
            </w:r>
          </w:p>
          <w:p>
            <w:pPr>
              <w:spacing w:after="20" w:before="20" w:line="276"/>
              <w:jc w:val="center"/>
            </w:pPr>
            <w:r>
              <w:rPr>
                <w:rFonts w:ascii="Times New Roman" w:eastAsia="SimSun"/>
                <w:b/>
                <w:bCs/>
                <w:color w:val="000000"/>
                <w:sz w:val="20"/>
                <w:szCs w:val="20"/>
              </w:rPr>
              <w:t xml:space="preserve">严重</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位置：4.3.2.2 节（另见 2.4 节）</w:t>
            </w:r>
          </w:p>
          <w:p>
            <w:pPr>
              <w:spacing w:after="20" w:before="20" w:line="276"/>
              <w:jc w:val="left"/>
            </w:pPr>
            <w:r>
              <w:rPr>
                <w:rFonts w:ascii="Times New Roman" w:eastAsia="SimSun"/>
                <w:b w:val="false"/>
                <w:bCs w:val="false"/>
                <w:color w:val="000000"/>
                <w:sz w:val="20"/>
                <w:szCs w:val="20"/>
              </w:rPr>
              <w:t xml:space="preserve">SRS 原文：“系统需要实现借阅期限提醒功能（到期前3天邮件/站内信通知）”；2.4 节：“需配置SMTP邮件服务，用于图书借阅期限到期提醒等通知邮件的自动发送”。</w:t>
            </w:r>
          </w:p>
          <w:p>
            <w:pPr>
              <w:spacing w:after="20" w:before="20" w:line="276"/>
              <w:jc w:val="left"/>
            </w:pPr>
            <w:r>
              <w:rPr>
                <w:rFonts w:ascii="Times New Roman" w:eastAsia="SimSun"/>
                <w:b w:val="false"/>
                <w:bCs w:val="false"/>
                <w:color w:val="000000"/>
                <w:sz w:val="20"/>
                <w:szCs w:val="20"/>
              </w:rPr>
              <w:t xml:space="preserve">依据：框架 §3.2.1.2.2：“借阅时间将满一个月时（系统设置为期满前三个工作日），系统应能在研究所负责资料保管的教师及借阅者登陆系统后，自动提示”；2026-10-11 澄清第 7 条：“图书到期提醒渠道：站内提醒”。</w:t>
            </w:r>
          </w:p>
          <w:p>
            <w:pPr>
              <w:spacing w:after="20" w:before="20" w:line="276"/>
              <w:jc w:val="left"/>
            </w:pPr>
            <w:r>
              <w:rPr>
                <w:rFonts w:ascii="Times New Roman" w:eastAsia="SimSun"/>
                <w:b w:val="false"/>
                <w:bCs w:val="false"/>
                <w:color w:val="000000"/>
                <w:sz w:val="20"/>
                <w:szCs w:val="20"/>
              </w:rPr>
              <w:t xml:space="preserve">影响：丢失“工作日”口径并引入框架外的邮件渠道与 SMTP 依赖；实现按工作日计算站内提醒（workingDaysBefore）。</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改为期满前 3 个工作日站内提醒；删除 SMTP 依赖或标注为扩展。</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P05</w:t>
            </w:r>
          </w:p>
          <w:p>
            <w:pPr>
              <w:spacing w:after="20" w:before="20" w:line="276"/>
              <w:jc w:val="center"/>
            </w:pPr>
            <w:r>
              <w:rPr>
                <w:rFonts w:ascii="Times New Roman" w:eastAsia="SimSun"/>
                <w:b/>
                <w:bCs/>
                <w:color w:val="000000"/>
                <w:sz w:val="20"/>
                <w:szCs w:val="20"/>
              </w:rPr>
              <w:t xml:space="preserve">严重</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位置：4.2、4.3.2.1 节（另见 3.2 节）</w:t>
            </w:r>
          </w:p>
          <w:p>
            <w:pPr>
              <w:spacing w:after="20" w:before="20" w:line="276"/>
              <w:jc w:val="left"/>
            </w:pPr>
            <w:r>
              <w:rPr>
                <w:rFonts w:ascii="Times New Roman" w:eastAsia="SimSun"/>
                <w:b w:val="false"/>
                <w:bCs w:val="false"/>
                <w:color w:val="000000"/>
                <w:sz w:val="20"/>
                <w:szCs w:val="20"/>
              </w:rPr>
              <w:t xml:space="preserve">SRS 原文：激励／响应序列表签到行：“1.用户点击签到按钮；2.系统获取当前时间戳与用户ID……”；4.3.2.1：“系统必须支持用户一键签到签出，自动记录精确到秒的时间戳。”（“自动记录时间戳”不等于登录自动签到。）</w:t>
            </w:r>
          </w:p>
          <w:p>
            <w:pPr>
              <w:spacing w:after="20" w:before="20" w:line="276"/>
              <w:jc w:val="left"/>
            </w:pPr>
            <w:r>
              <w:rPr>
                <w:rFonts w:ascii="Times New Roman" w:eastAsia="SimSun"/>
                <w:b w:val="false"/>
                <w:bCs w:val="false"/>
                <w:color w:val="000000"/>
                <w:sz w:val="20"/>
                <w:szCs w:val="20"/>
              </w:rPr>
              <w:t xml:space="preserve">依据：框架 §3.2.1.2.1：“注册用户登录系统后，系统应能自动进行签到，用户登出系统后，系统自动履行签出功能。”</w:t>
            </w:r>
          </w:p>
          <w:p>
            <w:pPr>
              <w:spacing w:after="20" w:before="20" w:line="276"/>
              <w:jc w:val="left"/>
            </w:pPr>
            <w:r>
              <w:rPr>
                <w:rFonts w:ascii="Times New Roman" w:eastAsia="SimSun"/>
                <w:b w:val="false"/>
                <w:bCs w:val="false"/>
                <w:color w:val="000000"/>
                <w:sz w:val="20"/>
                <w:szCs w:val="20"/>
              </w:rPr>
              <w:t xml:space="preserve">影响：签到触发机制由登录／登出自动改为手动点击，与框架直接冲突；SRS 已写所长与教师两级统计视图，但教师未限定全职；出勤率、迟到早退、节假日与调休属新增口径。源码 DoLogin／Logout 调用 CheckIn／CheckOut 的自动签到路径仅作文档与实现不一致的辅证，不构成运行验证结论。</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恢复登录／登出自动触发与两级统计权限（教师限定全职）；节假日、调休、出勤率、迟到早退标注为待确认扩展。</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P06</w:t>
            </w:r>
          </w:p>
          <w:p>
            <w:pPr>
              <w:spacing w:after="20" w:before="20" w:line="276"/>
              <w:jc w:val="center"/>
            </w:pPr>
            <w:r>
              <w:rPr>
                <w:rFonts w:ascii="Times New Roman" w:eastAsia="SimSun"/>
                <w:b/>
                <w:bCs/>
                <w:color w:val="000000"/>
                <w:sz w:val="20"/>
                <w:szCs w:val="20"/>
              </w:rPr>
              <w:t xml:space="preserve">严重</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位置：4.2 节（贯穿全文）</w:t>
            </w:r>
          </w:p>
          <w:p>
            <w:pPr>
              <w:spacing w:after="20" w:before="20" w:line="276"/>
              <w:jc w:val="left"/>
            </w:pPr>
            <w:r>
              <w:rPr>
                <w:rFonts w:ascii="Times New Roman" w:eastAsia="SimSun"/>
                <w:b w:val="false"/>
                <w:bCs w:val="false"/>
                <w:color w:val="000000"/>
                <w:sz w:val="20"/>
                <w:szCs w:val="20"/>
              </w:rPr>
              <w:t xml:space="preserve">SRS 原文：激励／响应序列表图书借阅行：“3.管理员审核通过”；§4.3.2.1 另有“所长账号需具备全局统计视图”——有所长提及，但全文未定义业务角色授权机制。</w:t>
            </w:r>
          </w:p>
          <w:p>
            <w:pPr>
              <w:spacing w:after="20" w:before="20" w:line="276"/>
              <w:jc w:val="left"/>
            </w:pPr>
            <w:r>
              <w:rPr>
                <w:rFonts w:ascii="Times New Roman" w:eastAsia="SimSun"/>
                <w:b w:val="false"/>
                <w:bCs w:val="false"/>
                <w:color w:val="000000"/>
                <w:sz w:val="20"/>
                <w:szCs w:val="20"/>
              </w:rPr>
              <w:t xml:space="preserve">依据：框架 §3.2.1.2.2：“研究所负责资料保管的教师审核请求后，给予登记备案后将图书借给请求发起人”；2026-10-11 澄清第 9 条：“系统管理员根据实际业务指定相关老师的身份（标记方式）”。</w:t>
            </w:r>
          </w:p>
          <w:p>
            <w:pPr>
              <w:spacing w:after="20" w:before="20" w:line="276"/>
              <w:jc w:val="left"/>
            </w:pPr>
            <w:r>
              <w:rPr>
                <w:rFonts w:ascii="Times New Roman" w:eastAsia="SimSun"/>
                <w:b w:val="false"/>
                <w:bCs w:val="false"/>
                <w:color w:val="000000"/>
                <w:sz w:val="20"/>
                <w:szCs w:val="20"/>
              </w:rPr>
              <w:t xml:space="preserve">影响：审核主体混称与业务授权机制不完整：借阅流程将审核者统称“管理员”，未明确为负责资料保管的教师；所长、图书管理教师的指定、撤销与权限边界未定义。实现含 IsBookKeeper／IsDirector 标记与教师审核路径，但审批路由同时放行系统管理员（adminOrBookKeeper），与“负责资料保管的教师审核”的框架口径仍有出入——静态代码核对仅证明存在更贴近框架的实现路径，不构成运行或验收结论。</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补业务角色授权矩阵，由系统管理员指定相关教师身份；明确借阅审核、上限设置、违规确认的执行角色；系统管理员是否兼有业务审核权另行与甲方确认。</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P07</w:t>
            </w:r>
          </w:p>
          <w:p>
            <w:pPr>
              <w:spacing w:after="20" w:before="20" w:line="276"/>
              <w:jc w:val="center"/>
            </w:pPr>
            <w:r>
              <w:rPr>
                <w:rFonts w:ascii="Times New Roman" w:eastAsia="SimSun"/>
                <w:b/>
                <w:bCs/>
                <w:color w:val="000000"/>
                <w:sz w:val="20"/>
                <w:szCs w:val="20"/>
              </w:rPr>
              <w:t xml:space="preserve">严重</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位置：4.3、5.5 节（字段级规则缺失）</w:t>
            </w:r>
          </w:p>
          <w:p>
            <w:pPr>
              <w:spacing w:after="20" w:before="20" w:line="276"/>
              <w:jc w:val="left"/>
            </w:pPr>
            <w:r>
              <w:rPr>
                <w:rFonts w:ascii="Times New Roman" w:eastAsia="SimSun"/>
                <w:b w:val="false"/>
                <w:bCs w:val="false"/>
                <w:color w:val="000000"/>
                <w:sz w:val="20"/>
                <w:szCs w:val="20"/>
              </w:rPr>
              <w:t xml:space="preserve">SRS 原文：全文仅 5.5.1 对学号/工号提出“按预设格式校验合法性”且格式未定义；导入校验仅有通用要求（3.3.4 行级报错、4.3.3.1 格式提示）；姓名、照片、电话、导师资格等字段级规则无任何条款。</w:t>
            </w:r>
          </w:p>
          <w:p>
            <w:pPr>
              <w:spacing w:after="20" w:before="20" w:line="276"/>
              <w:jc w:val="left"/>
            </w:pPr>
            <w:r>
              <w:rPr>
                <w:rFonts w:ascii="Times New Roman" w:eastAsia="SimSun"/>
                <w:b w:val="false"/>
                <w:bCs w:val="false"/>
                <w:color w:val="000000"/>
                <w:sz w:val="20"/>
                <w:szCs w:val="20"/>
              </w:rPr>
              <w:t xml:space="preserve">依据：框架 §2.2 逐字段规则，如：“校内事业编全职教师拥有10位数字工号，以61201开头”“照片：2M大小上传限制……系统应能提供照片的在线检测功能”；2026-10-11 澄清第 10～12 条。</w:t>
            </w:r>
          </w:p>
          <w:p>
            <w:pPr>
              <w:spacing w:after="20" w:before="20" w:line="276"/>
              <w:jc w:val="left"/>
            </w:pPr>
            <w:r>
              <w:rPr>
                <w:rFonts w:ascii="Times New Roman" w:eastAsia="SimSun"/>
                <w:b w:val="false"/>
                <w:bCs w:val="false"/>
                <w:color w:val="000000"/>
                <w:sz w:val="20"/>
                <w:szCs w:val="20"/>
              </w:rPr>
              <w:t xml:space="preserve">影响：SRS 呈“有全局校验规则、无字段级规则”状态，字段口径与实现脱节；实现 validate 已含工号／学号／姓名／照片／电话规则（属“做了没写”），唯导师／副导师全职约束 SRS 与实现均未落实（见检查表 C6，属共同缺失）。</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增补数据需求章节（建议按 GB/T 8567-2006 7.11 之 3.15 数据说明组织），把已实现校验规则回填为需求条目；导师全职约束按框架补需求并落地校验。</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P08</w:t>
            </w:r>
          </w:p>
          <w:p>
            <w:pPr>
              <w:spacing w:after="20" w:before="20" w:line="276"/>
              <w:jc w:val="center"/>
            </w:pPr>
            <w:r>
              <w:rPr>
                <w:rFonts w:ascii="Times New Roman" w:eastAsia="SimSun"/>
                <w:b/>
                <w:bCs/>
                <w:color w:val="000000"/>
                <w:sz w:val="20"/>
                <w:szCs w:val="20"/>
              </w:rPr>
              <w:t xml:space="preserve">严重</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位置：全文（一致性）</w:t>
            </w:r>
          </w:p>
          <w:p>
            <w:pPr>
              <w:spacing w:after="20" w:before="20" w:line="276"/>
              <w:jc w:val="left"/>
            </w:pPr>
            <w:r>
              <w:rPr>
                <w:rFonts w:ascii="Times New Roman" w:eastAsia="SimSun"/>
                <w:b w:val="false"/>
                <w:bCs w:val="false"/>
                <w:color w:val="000000"/>
                <w:sz w:val="20"/>
                <w:szCs w:val="20"/>
              </w:rPr>
              <w:t xml:space="preserve">SRS 原文：同一系统两套口径：SRS 5.5 节“学生用户每次限借3本”／随附需求对照表“借阅上限默认2本，可由管理教师设置”（BookSetting.MaxBorrowPerUser）；签到、照片检测、审核角色同理。</w:t>
            </w:r>
          </w:p>
          <w:p>
            <w:pPr>
              <w:spacing w:after="20" w:before="20" w:line="276"/>
              <w:jc w:val="left"/>
            </w:pPr>
            <w:r>
              <w:rPr>
                <w:rFonts w:ascii="Times New Roman" w:eastAsia="SimSun"/>
                <w:b w:val="false"/>
                <w:bCs w:val="false"/>
                <w:color w:val="000000"/>
                <w:sz w:val="20"/>
                <w:szCs w:val="20"/>
              </w:rPr>
              <w:t xml:space="preserve">依据：GB/T 8567-2006 7.11 第 3 章：“给每个需求指定项目唯一标识符……并以一种可以定义客观测试的方式来陈述需求”（需求即验收条件）；GB/T 9385-2008 4.4.5（一致性）；Oct 13 课件：评审是阶段放行闸门，基准必须唯一。</w:t>
            </w:r>
          </w:p>
          <w:p>
            <w:pPr>
              <w:spacing w:after="20" w:before="20" w:line="276"/>
              <w:jc w:val="left"/>
            </w:pPr>
            <w:r>
              <w:rPr>
                <w:rFonts w:ascii="Times New Roman" w:eastAsia="SimSun"/>
                <w:b w:val="false"/>
                <w:bCs w:val="false"/>
                <w:color w:val="000000"/>
                <w:sz w:val="20"/>
                <w:szCs w:val="20"/>
              </w:rPr>
              <w:t xml:space="preserve">影响：设计说明书、测试文档部分沿用 SRS 错误口径（测试文档 2.2 节第 9、10 项预期即按 SRS 写），设计／测试／验收的基准失效。</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以需求框架为基准修订 SRS，使其与实现、内部文档一致；将需求对照表纳入正式文档体系并随变更同步维护。</w:t>
            </w:r>
          </w:p>
        </w:tc>
      </w:tr>
    </w:tbl>
    <w:p>
      <w:pPr>
        <w:spacing w:before="120"/>
      </w:pPr>
    </w:p>
    <w:p>
      <w:pPr>
        <w:keepNext/>
        <w:spacing w:after="80" w:before="160" w:line="312"/>
        <w:jc w:val="center"/>
      </w:pPr>
      <w:r>
        <w:rPr>
          <w:rFonts w:ascii="Times New Roman" w:eastAsia="SimHei"/>
          <w:b/>
          <w:bCs/>
          <w:color w:val="000000"/>
          <w:sz w:val="21"/>
          <w:szCs w:val="21"/>
        </w:rPr>
        <w:t xml:space="preserve">表 3-4　一般问题（P09～P14）</w:t>
      </w:r>
    </w:p>
    <w:tbl>
      <w:tblPr>
        <w:tblW w:type="pct" w:w="100%"/>
        <w:tblBorders>
          <w:top w:val="single" w:color="529286" w:sz="4"/>
          <w:left w:val="none" w:color="FFFFFF" w:sz="0"/>
          <w:bottom w:val="single" w:color="529286" w:sz="4"/>
          <w:right w:val="none" w:color="FFFFFF" w:sz="0"/>
          <w:insideH w:val="single" w:color="BECFCC" w:sz="1"/>
          <w:insideV w:val="single" w:color="BECFCC" w:sz="1"/>
        </w:tblBorders>
      </w:tblPr>
      <w:tblGrid>
        <w:gridCol w:w="100"/>
        <w:gridCol w:w="100"/>
        <w:gridCol w:w="100"/>
      </w:tblGrid>
      <w:tr>
        <w:trPr>
          <w:cantSplit/>
          <w:tblHeader/>
        </w:trPr>
        <w:tc>
          <w:tcPr>
            <w:tcW w:type="pct" w:w="12%"/>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编号</w:t>
            </w:r>
          </w:p>
        </w:tc>
        <w:tc>
          <w:tcPr>
            <w:tcW w:type="pct" w:w="56%"/>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问题与依据</w:t>
            </w:r>
          </w:p>
        </w:tc>
        <w:tc>
          <w:tcPr>
            <w:tcW w:type="pct" w:w="32%"/>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修订建议</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P09</w:t>
            </w:r>
          </w:p>
          <w:p>
            <w:pPr>
              <w:spacing w:after="20" w:before="20" w:line="276"/>
              <w:jc w:val="center"/>
            </w:pPr>
            <w:r>
              <w:rPr>
                <w:rFonts w:ascii="Times New Roman" w:eastAsia="SimSun"/>
                <w:b/>
                <w:bCs/>
                <w:color w:val="000000"/>
                <w:sz w:val="20"/>
                <w:szCs w:val="20"/>
              </w:rPr>
              <w:t xml:space="preserve">一般</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位置：4.3.1 节（人员检索与可见性边界缺失）</w:t>
            </w:r>
          </w:p>
          <w:p>
            <w:pPr>
              <w:spacing w:after="20" w:before="20" w:line="276"/>
              <w:jc w:val="left"/>
            </w:pPr>
            <w:r>
              <w:rPr>
                <w:rFonts w:ascii="Times New Roman" w:eastAsia="SimSun"/>
                <w:b w:val="false"/>
                <w:bCs w:val="false"/>
                <w:color w:val="000000"/>
                <w:sz w:val="20"/>
                <w:szCs w:val="20"/>
              </w:rPr>
              <w:t xml:space="preserve">SRS 原文：（人员信息检索与字段可见性无对应条款——SRS 仅成果、招生栏目含检索表述（4.3.1.5／4.3.1.6），“敏感”3 处均为加密与后台修改语境。）</w:t>
            </w:r>
          </w:p>
          <w:p>
            <w:pPr>
              <w:spacing w:after="20" w:before="20" w:line="276"/>
              <w:jc w:val="left"/>
            </w:pPr>
            <w:r>
              <w:rPr>
                <w:rFonts w:ascii="Times New Roman" w:eastAsia="SimSun"/>
                <w:b w:val="false"/>
                <w:bCs w:val="false"/>
                <w:color w:val="000000"/>
                <w:sz w:val="20"/>
                <w:szCs w:val="20"/>
              </w:rPr>
              <w:t xml:space="preserve">依据：框架 §3.1.8 补充说明：“对此感兴趣的游客，可以根据兴趣点对相关信息进行查询，但此查询功能应注意区分敏感数据，对相关数据进行隐私保护”；2026-10-11 澄清第 10 条：“可对游客展示学生学号、姓名、邮箱和照片；电话、出生日期等设为敏感信息”。</w:t>
            </w:r>
          </w:p>
          <w:p>
            <w:pPr>
              <w:spacing w:after="20" w:before="20" w:line="276"/>
              <w:jc w:val="left"/>
            </w:pPr>
            <w:r>
              <w:rPr>
                <w:rFonts w:ascii="Times New Roman" w:eastAsia="SimSun"/>
                <w:b w:val="false"/>
                <w:bCs w:val="false"/>
                <w:color w:val="000000"/>
                <w:sz w:val="20"/>
                <w:szCs w:val="20"/>
              </w:rPr>
              <w:t xml:space="preserve">影响：人员信息的游客查询与隐私边界无需求依据；实现学生详情仅展示学号、姓名、性别、类别、国籍、导师（符合口径），属“做了没写”。</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补充人员信息游客检索需求与字段可见性矩阵（含脱敏规则）。</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P10</w:t>
            </w:r>
          </w:p>
          <w:p>
            <w:pPr>
              <w:spacing w:after="20" w:before="20" w:line="276"/>
              <w:jc w:val="center"/>
            </w:pPr>
            <w:r>
              <w:rPr>
                <w:rFonts w:ascii="Times New Roman" w:eastAsia="SimSun"/>
                <w:b/>
                <w:bCs/>
                <w:color w:val="000000"/>
                <w:sz w:val="20"/>
                <w:szCs w:val="20"/>
              </w:rPr>
              <w:t xml:space="preserve">一般</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位置：2.4、2.6 节（整站迁移需求不完整）</w:t>
            </w:r>
          </w:p>
          <w:p>
            <w:pPr>
              <w:spacing w:after="20" w:before="20" w:line="276"/>
              <w:jc w:val="left"/>
            </w:pPr>
            <w:r>
              <w:rPr>
                <w:rFonts w:ascii="Times New Roman" w:eastAsia="SimSun"/>
                <w:b w:val="false"/>
                <w:bCs w:val="false"/>
                <w:color w:val="000000"/>
                <w:sz w:val="20"/>
                <w:szCs w:val="20"/>
              </w:rPr>
              <w:t xml:space="preserve">SRS 原文：SRS 已在 §2.2／§2.5／§3.3／§4.3.3.1 定义 Excel/CSV 用户批量导入及部分校验与错误反馈；§2.4、§2.6 提及“研究所现有网站数据的导入需求”与师资、图书目录、历史研究成果等数据依赖。</w:t>
            </w:r>
          </w:p>
          <w:p>
            <w:pPr>
              <w:spacing w:after="20" w:before="20" w:line="276"/>
              <w:jc w:val="left"/>
            </w:pPr>
            <w:r>
              <w:rPr>
                <w:rFonts w:ascii="Times New Roman" w:eastAsia="SimSun"/>
                <w:b w:val="false"/>
                <w:bCs w:val="false"/>
                <w:color w:val="000000"/>
                <w:sz w:val="20"/>
                <w:szCs w:val="20"/>
              </w:rPr>
              <w:t xml:space="preserve">依据：框架 §3 开篇：“新开发的管理系统应支持对现有网站数据的导入功能。”（现有网站数据不限于注册用户。）</w:t>
            </w:r>
          </w:p>
          <w:p>
            <w:pPr>
              <w:spacing w:after="20" w:before="20" w:line="276"/>
              <w:jc w:val="left"/>
            </w:pPr>
            <w:r>
              <w:rPr>
                <w:rFonts w:ascii="Times New Roman" w:eastAsia="SimSun"/>
                <w:b w:val="false"/>
                <w:bCs w:val="false"/>
                <w:color w:val="000000"/>
                <w:sz w:val="20"/>
                <w:szCs w:val="20"/>
              </w:rPr>
              <w:t xml:space="preserve">影响：除用户外的迁移对象（图书目录、历史成果等）未分项落为功能需求：迁移范围、字段映射、关联关系、失败处理与迁移后验收条件不明确；源码 import.go 与设计说明可佐证用户导入，不能证明整站迁移完成。</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补迁移范围表（对象、字段映射、关联关系、失败处理、验收条件），已定义部分交叉引用、不重复要求全部重写；与老师下发基础数据（Y10）衔接。</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P11</w:t>
            </w:r>
          </w:p>
          <w:p>
            <w:pPr>
              <w:spacing w:after="20" w:before="20" w:line="276"/>
              <w:jc w:val="center"/>
            </w:pPr>
            <w:r>
              <w:rPr>
                <w:rFonts w:ascii="Times New Roman" w:eastAsia="SimSun"/>
                <w:b/>
                <w:bCs/>
                <w:color w:val="000000"/>
                <w:sz w:val="20"/>
                <w:szCs w:val="20"/>
              </w:rPr>
              <w:t xml:space="preserve">一般</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位置：4.3.1.2／4／5／6 节</w:t>
            </w:r>
          </w:p>
          <w:p>
            <w:pPr>
              <w:spacing w:after="20" w:before="20" w:line="276"/>
              <w:jc w:val="left"/>
            </w:pPr>
            <w:r>
              <w:rPr>
                <w:rFonts w:ascii="Times New Roman" w:eastAsia="SimSun"/>
                <w:b w:val="false"/>
                <w:bCs w:val="false"/>
                <w:color w:val="000000"/>
                <w:sz w:val="20"/>
                <w:szCs w:val="20"/>
              </w:rPr>
              <w:t xml:space="preserve">SRS 原文：课程：“展示课程名称、授课教师、教学大纲等信息”；招生：“分别发布招生简章、导师介绍、考试大纲及录取公示等信息”。</w:t>
            </w:r>
          </w:p>
          <w:p>
            <w:pPr>
              <w:spacing w:after="20" w:before="20" w:line="276"/>
              <w:jc w:val="left"/>
            </w:pPr>
            <w:r>
              <w:rPr>
                <w:rFonts w:ascii="Times New Roman" w:eastAsia="SimSun"/>
                <w:b w:val="false"/>
                <w:bCs w:val="false"/>
                <w:color w:val="000000"/>
                <w:sz w:val="20"/>
                <w:szCs w:val="20"/>
              </w:rPr>
              <w:t xml:space="preserve">依据：框架 §3.1.5：“教学工作中应展示……课程编号、课程名称、课程性质、学生层次、授课时间、主讲教师等”；§3.1.7：“应展示技术要求、工作时间、其他要求、联系人、联系方式等信息”。</w:t>
            </w:r>
          </w:p>
          <w:p>
            <w:pPr>
              <w:spacing w:after="20" w:before="20" w:line="276"/>
              <w:jc w:val="left"/>
            </w:pPr>
            <w:r>
              <w:rPr>
                <w:rFonts w:ascii="Times New Roman" w:eastAsia="SimSun"/>
                <w:b w:val="false"/>
                <w:bCs w:val="false"/>
                <w:color w:val="000000"/>
                <w:sz w:val="20"/>
                <w:szCs w:val="20"/>
              </w:rPr>
              <w:t xml:space="preserve">影响：前台栏目字段与框架不一致（师资、成果栏目同理）——系字段口径与需求基线不统一：部分功能已实现但 SRS 未准确表述，而非完全未实现；其测试文档 2.1 节第 5、7 项预期实际按框架字段描述，佐证 SRS 失真。</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按框架逐栏目回填字段定义；自造字段删除或标注为扩展。</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P12</w:t>
            </w:r>
          </w:p>
          <w:p>
            <w:pPr>
              <w:spacing w:after="20" w:before="20" w:line="276"/>
              <w:jc w:val="center"/>
            </w:pPr>
            <w:r>
              <w:rPr>
                <w:rFonts w:ascii="Times New Roman" w:eastAsia="SimSun"/>
                <w:b/>
                <w:bCs/>
                <w:color w:val="000000"/>
                <w:sz w:val="20"/>
                <w:szCs w:val="20"/>
              </w:rPr>
              <w:t xml:space="preserve">一般</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位置：5.1、5.2、5.4.4、5.5.1 节（另见 1.1 节）</w:t>
            </w:r>
          </w:p>
          <w:p>
            <w:pPr>
              <w:spacing w:after="20" w:before="20" w:line="276"/>
              <w:jc w:val="left"/>
            </w:pPr>
            <w:r>
              <w:rPr>
                <w:rFonts w:ascii="Times New Roman" w:eastAsia="SimSun"/>
                <w:b w:val="false"/>
                <w:bCs w:val="false"/>
                <w:color w:val="000000"/>
                <w:sz w:val="20"/>
                <w:szCs w:val="20"/>
              </w:rPr>
              <w:t xml:space="preserve">SRS 原文：“系统需支持至少200个并发用户同时在线操作，注册用户总数不低于500人”“提供不少于1TB的附件存储空间”；1.1 节称本 SRS“为测试团队编写测试用例和制定验收标准提供唯一依据”。</w:t>
            </w:r>
          </w:p>
          <w:p>
            <w:pPr>
              <w:spacing w:after="20" w:before="20" w:line="276"/>
              <w:jc w:val="left"/>
            </w:pPr>
            <w:r>
              <w:rPr>
                <w:rFonts w:ascii="Times New Roman" w:eastAsia="SimSun"/>
                <w:b w:val="false"/>
                <w:bCs w:val="false"/>
                <w:color w:val="000000"/>
                <w:sz w:val="20"/>
                <w:szCs w:val="20"/>
              </w:rPr>
              <w:t xml:space="preserve">依据：框架第 4 章与两轮澄清中均无下列指标对应条款：200 并发／500 用户（5.1.1）、1TB／10 万条（5.1.4）、RTO／RPO（5.2.2）、日志 180 天（5.2.3）、注释率 20％（5.4.4）、密码 7 天（5.5.1）（逐条对照，依据 Y1、Y10）。</w:t>
            </w:r>
          </w:p>
          <w:p>
            <w:pPr>
              <w:spacing w:after="20" w:before="20" w:line="276"/>
              <w:jc w:val="left"/>
            </w:pPr>
            <w:r>
              <w:rPr>
                <w:rFonts w:ascii="Times New Roman" w:eastAsia="SimSun"/>
                <w:b w:val="false"/>
                <w:bCs w:val="false"/>
                <w:color w:val="000000"/>
                <w:sz w:val="20"/>
                <w:szCs w:val="20"/>
              </w:rPr>
              <w:t xml:space="preserve">影响：无出处的量化指标将构成对乙方不利的验收标准；与研究所真实规模（教师 17 人、在读学生约 93 人，见 Y10 基础数据）不匹配。</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区分“甲方要求（可溯源）”与“乙方自定设计目标”两级标注；无依据指标删除或降级。</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P13</w:t>
            </w:r>
          </w:p>
          <w:p>
            <w:pPr>
              <w:spacing w:after="20" w:before="20" w:line="276"/>
              <w:jc w:val="center"/>
            </w:pPr>
            <w:r>
              <w:rPr>
                <w:rFonts w:ascii="Times New Roman" w:eastAsia="SimSun"/>
                <w:b/>
                <w:bCs/>
                <w:color w:val="000000"/>
                <w:sz w:val="20"/>
                <w:szCs w:val="20"/>
              </w:rPr>
              <w:t xml:space="preserve">一般</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位置：4.3.2.2 节（编号规则未定义）</w:t>
            </w:r>
          </w:p>
          <w:p>
            <w:pPr>
              <w:spacing w:after="20" w:before="20" w:line="276"/>
              <w:jc w:val="left"/>
            </w:pPr>
            <w:r>
              <w:rPr>
                <w:rFonts w:ascii="Times New Roman" w:eastAsia="SimSun"/>
                <w:b w:val="false"/>
                <w:bCs w:val="false"/>
                <w:color w:val="000000"/>
                <w:sz w:val="20"/>
                <w:szCs w:val="20"/>
              </w:rPr>
              <w:t xml:space="preserve">SRS 原文：“系统必须支持图书目录检索（按书名/作者/ISBN）。”</w:t>
            </w:r>
          </w:p>
          <w:p>
            <w:pPr>
              <w:spacing w:after="20" w:before="20" w:line="276"/>
              <w:jc w:val="left"/>
            </w:pPr>
            <w:r>
              <w:rPr>
                <w:rFonts w:ascii="Times New Roman" w:eastAsia="SimSun"/>
                <w:b w:val="false"/>
                <w:bCs w:val="false"/>
                <w:color w:val="000000"/>
                <w:sz w:val="20"/>
                <w:szCs w:val="20"/>
              </w:rPr>
              <w:t xml:space="preserve">依据：框架 §3.2.1.2.2：“编码规则为：7位数字，前四位代表图书的购买年份，后三位代表该本图书在研究所本年度购买图书中的顺序编号。”</w:t>
            </w:r>
          </w:p>
          <w:p>
            <w:pPr>
              <w:spacing w:after="20" w:before="20" w:line="276"/>
              <w:jc w:val="left"/>
            </w:pPr>
            <w:r>
              <w:rPr>
                <w:rFonts w:ascii="Times New Roman" w:eastAsia="SimSun"/>
                <w:b w:val="false"/>
                <w:bCs w:val="false"/>
                <w:color w:val="000000"/>
                <w:sz w:val="20"/>
                <w:szCs w:val="20"/>
              </w:rPr>
              <w:t xml:space="preserve">影响：编号规则缺失，检索字段自造 ISBN 口径；老师下发真实数据图书编号为 B001 风格（Y10），换算口径无需求依据；实现 validate.BookCode 已按 7 位规则。</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补编号规则需求与真实数据换算口径；检索字段对齐框架（编号、书名、作者），结果列表展示出版年份与馆藏状态。</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P14</w:t>
            </w:r>
          </w:p>
          <w:p>
            <w:pPr>
              <w:spacing w:after="20" w:before="20" w:line="276"/>
              <w:jc w:val="center"/>
            </w:pPr>
            <w:r>
              <w:rPr>
                <w:rFonts w:ascii="Times New Roman" w:eastAsia="SimSun"/>
                <w:b/>
                <w:bCs/>
                <w:color w:val="000000"/>
                <w:sz w:val="20"/>
                <w:szCs w:val="20"/>
              </w:rPr>
              <w:t xml:space="preserve">一般</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位置：全文（结构）</w:t>
            </w:r>
          </w:p>
          <w:p>
            <w:pPr>
              <w:spacing w:after="20" w:before="20" w:line="276"/>
              <w:jc w:val="left"/>
            </w:pPr>
            <w:r>
              <w:rPr>
                <w:rFonts w:ascii="Times New Roman" w:eastAsia="SimSun"/>
                <w:b w:val="false"/>
                <w:bCs w:val="false"/>
                <w:color w:val="000000"/>
                <w:sz w:val="20"/>
                <w:szCs w:val="20"/>
              </w:rPr>
              <w:t xml:space="preserve">SRS 原文：封面书名“软件规格说明书”与正文标题“软件需求规格说明”不一致；全文无版本号、修订历史、需求编号、合格性规定与追踪章节。</w:t>
            </w:r>
          </w:p>
          <w:p>
            <w:pPr>
              <w:spacing w:after="20" w:before="20" w:line="276"/>
              <w:jc w:val="left"/>
            </w:pPr>
            <w:r>
              <w:rPr>
                <w:rFonts w:ascii="Times New Roman" w:eastAsia="SimSun"/>
                <w:b w:val="false"/>
                <w:bCs w:val="false"/>
                <w:color w:val="000000"/>
                <w:sz w:val="20"/>
                <w:szCs w:val="20"/>
              </w:rPr>
              <w:t xml:space="preserve">依据：GB/T 8567-2006 7.11 第 1～6 章；GB/T 9385-2008 4.4.4（完备性与待定项管理）、4.4.9（正向可追踪“每个需求有唯一名称或索引号”）、5.1（正文提纲）；IEEE 830 同类要求。</w:t>
            </w:r>
          </w:p>
          <w:p>
            <w:pPr>
              <w:spacing w:after="20" w:before="20" w:line="276"/>
              <w:jc w:val="left"/>
            </w:pPr>
            <w:r>
              <w:rPr>
                <w:rFonts w:ascii="Times New Roman" w:eastAsia="SimSun"/>
                <w:b w:val="false"/>
                <w:bCs w:val="false"/>
                <w:color w:val="000000"/>
                <w:sz w:val="20"/>
                <w:szCs w:val="20"/>
              </w:rPr>
              <w:t xml:space="preserve">影响：无法支撑配置管理、变更追溯与测试映射；参考文献未列《技术开发合同》这一需求来源（测试文档大量引用合同条款）。</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按国标补齐结构要素；建立 FR-xx 编号并联动测试用例编号；统一文档命名；亦可参照 GB/T 9385-2008 附录 A 提纲（如 A.5 按系统特征组织）重构第 4 章。</w:t>
            </w:r>
          </w:p>
        </w:tc>
      </w:tr>
    </w:tbl>
    <w:p>
      <w:pPr>
        <w:spacing w:before="120"/>
      </w:pPr>
    </w:p>
    <w:p>
      <w:pPr>
        <w:keepNext/>
        <w:spacing w:after="80" w:before="160" w:line="312"/>
        <w:jc w:val="center"/>
      </w:pPr>
      <w:r>
        <w:rPr>
          <w:rFonts w:ascii="Times New Roman" w:eastAsia="SimHei"/>
          <w:b/>
          <w:bCs/>
          <w:color w:val="000000"/>
          <w:sz w:val="21"/>
          <w:szCs w:val="21"/>
        </w:rPr>
        <w:t xml:space="preserve">表 3-5　轻微问题（P15～P17）</w:t>
      </w:r>
    </w:p>
    <w:tbl>
      <w:tblPr>
        <w:tblW w:type="pct" w:w="100%"/>
        <w:tblBorders>
          <w:top w:val="single" w:color="529286" w:sz="4"/>
          <w:left w:val="none" w:color="FFFFFF" w:sz="0"/>
          <w:bottom w:val="single" w:color="529286" w:sz="4"/>
          <w:right w:val="none" w:color="FFFFFF" w:sz="0"/>
          <w:insideH w:val="single" w:color="BECFCC" w:sz="1"/>
          <w:insideV w:val="single" w:color="BECFCC" w:sz="1"/>
        </w:tblBorders>
      </w:tblPr>
      <w:tblGrid>
        <w:gridCol w:w="100"/>
        <w:gridCol w:w="100"/>
        <w:gridCol w:w="100"/>
      </w:tblGrid>
      <w:tr>
        <w:trPr>
          <w:cantSplit/>
          <w:tblHeader/>
        </w:trPr>
        <w:tc>
          <w:tcPr>
            <w:tcW w:type="pct" w:w="12%"/>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编号</w:t>
            </w:r>
          </w:p>
        </w:tc>
        <w:tc>
          <w:tcPr>
            <w:tcW w:type="pct" w:w="56%"/>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问题与依据</w:t>
            </w:r>
          </w:p>
        </w:tc>
        <w:tc>
          <w:tcPr>
            <w:tcW w:type="pct" w:w="32%"/>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修订建议</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P15</w:t>
            </w:r>
          </w:p>
          <w:p>
            <w:pPr>
              <w:spacing w:after="20" w:before="20" w:line="276"/>
              <w:jc w:val="center"/>
            </w:pPr>
            <w:r>
              <w:rPr>
                <w:rFonts w:ascii="Times New Roman" w:eastAsia="SimSun"/>
                <w:b/>
                <w:bCs/>
                <w:color w:val="000000"/>
                <w:sz w:val="20"/>
                <w:szCs w:val="20"/>
              </w:rPr>
              <w:t xml:space="preserve">轻微</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位置：3.1 节等（缺失）</w:t>
            </w:r>
          </w:p>
          <w:p>
            <w:pPr>
              <w:spacing w:after="20" w:before="20" w:line="276"/>
              <w:jc w:val="left"/>
            </w:pPr>
            <w:r>
              <w:rPr>
                <w:rFonts w:ascii="Times New Roman" w:eastAsia="SimSun"/>
                <w:b w:val="false"/>
                <w:bCs w:val="false"/>
                <w:color w:val="000000"/>
                <w:sz w:val="20"/>
                <w:szCs w:val="20"/>
              </w:rPr>
              <w:t xml:space="preserve">SRS 原文：3.1 节仅有总体要求：“整体遵循学术机构严谨、简洁的视觉风格”，无登录页三要素与界面两方案条款。</w:t>
            </w:r>
          </w:p>
          <w:p>
            <w:pPr>
              <w:spacing w:after="20" w:before="20" w:line="276"/>
              <w:jc w:val="left"/>
            </w:pPr>
            <w:r>
              <w:rPr>
                <w:rFonts w:ascii="Times New Roman" w:eastAsia="SimSun"/>
                <w:b w:val="false"/>
                <w:bCs w:val="false"/>
                <w:color w:val="000000"/>
                <w:sz w:val="20"/>
                <w:szCs w:val="20"/>
              </w:rPr>
              <w:t xml:space="preserve">依据：框架第 4 章第 7 条：“系统登陆界面中需体现……LOGO、系统名字、著作权等标志”；第 4 条：“在系统的设计阶段最好提供两种界面设计方案供委托方选择”。</w:t>
            </w:r>
          </w:p>
          <w:p>
            <w:pPr>
              <w:spacing w:after="20" w:before="20" w:line="276"/>
              <w:jc w:val="left"/>
            </w:pPr>
            <w:r>
              <w:rPr>
                <w:rFonts w:ascii="Times New Roman" w:eastAsia="SimSun"/>
                <w:b w:val="false"/>
                <w:bCs w:val="false"/>
                <w:color w:val="000000"/>
                <w:sz w:val="20"/>
                <w:szCs w:val="20"/>
              </w:rPr>
              <w:t xml:space="preserve">影响：实现已具备（登录页三要素、多套版式），但需求不可追踪；实现以“三套版式”解释两种方案，依据不足。</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补两条引用性需求（实现均已具备，回填即可）。</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P16</w:t>
            </w:r>
          </w:p>
          <w:p>
            <w:pPr>
              <w:spacing w:after="20" w:before="20" w:line="276"/>
              <w:jc w:val="center"/>
            </w:pPr>
            <w:r>
              <w:rPr>
                <w:rFonts w:ascii="Times New Roman" w:eastAsia="SimSun"/>
                <w:b/>
                <w:bCs/>
                <w:color w:val="000000"/>
                <w:sz w:val="20"/>
                <w:szCs w:val="20"/>
              </w:rPr>
              <w:t xml:space="preserve">轻微</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位置：4.1 节</w:t>
            </w:r>
          </w:p>
          <w:p>
            <w:pPr>
              <w:spacing w:after="20" w:before="20" w:line="276"/>
              <w:jc w:val="left"/>
            </w:pPr>
            <w:r>
              <w:rPr>
                <w:rFonts w:ascii="Times New Roman" w:eastAsia="SimSun"/>
                <w:b w:val="false"/>
                <w:bCs w:val="false"/>
                <w:color w:val="000000"/>
                <w:sz w:val="20"/>
                <w:szCs w:val="20"/>
              </w:rPr>
              <w:t xml:space="preserve">SRS 原文：优先级表第 4 行：“图书借阅管理……优先级：中”。</w:t>
            </w:r>
          </w:p>
          <w:p>
            <w:pPr>
              <w:spacing w:after="20" w:before="20" w:line="276"/>
              <w:jc w:val="left"/>
            </w:pPr>
            <w:r>
              <w:rPr>
                <w:rFonts w:ascii="Times New Roman" w:eastAsia="SimSun"/>
                <w:b w:val="false"/>
                <w:bCs w:val="false"/>
                <w:color w:val="000000"/>
                <w:sz w:val="20"/>
                <w:szCs w:val="20"/>
              </w:rPr>
              <w:t xml:space="preserve">依据：GB/T 8567-2006 7.11 之 3.24（需求的优先次序和关键程度）；GB/T 9385-2008 4.4.6（按基本的、有条件的、可选的分级并说明稳定性）。</w:t>
            </w:r>
          </w:p>
          <w:p>
            <w:pPr>
              <w:spacing w:after="20" w:before="20" w:line="276"/>
              <w:jc w:val="left"/>
            </w:pPr>
            <w:r>
              <w:rPr>
                <w:rFonts w:ascii="Times New Roman" w:eastAsia="SimSun"/>
                <w:b w:val="false"/>
                <w:bCs w:val="false"/>
                <w:color w:val="000000"/>
                <w:sz w:val="20"/>
                <w:szCs w:val="20"/>
              </w:rPr>
              <w:t xml:space="preserve">影响：分级无准则说明；借阅规则是框架中条款最密的功能域，定为“中”与验收权重不匹配。</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说明分级准则并复核优先级。</w:t>
            </w:r>
          </w:p>
        </w:tc>
      </w:tr>
      <w:tr>
        <w:trPr>
          <w:cantSplit/>
        </w:trPr>
        <w:tc>
          <w:tcPr>
            <w:tcW w:type="pct" w:w="12%"/>
            <w:tcMar>
              <w:top w:type="dxa" w:w="50"/>
              <w:left w:type="dxa" w:w="90"/>
              <w:bottom w:type="dxa" w:w="50"/>
              <w:right w:type="dxa" w:w="90"/>
            </w:tcMar>
            <w:vAlign w:val="center"/>
          </w:tcPr>
          <w:p>
            <w:pPr>
              <w:spacing w:after="20" w:before="20" w:line="276"/>
              <w:jc w:val="center"/>
            </w:pPr>
            <w:r>
              <w:rPr>
                <w:rFonts w:ascii="Times New Roman" w:eastAsia="SimSun"/>
                <w:b/>
                <w:bCs/>
                <w:color w:val="000000"/>
                <w:sz w:val="22"/>
                <w:szCs w:val="22"/>
              </w:rPr>
              <w:t xml:space="preserve">P17</w:t>
            </w:r>
          </w:p>
          <w:p>
            <w:pPr>
              <w:spacing w:after="20" w:before="20" w:line="276"/>
              <w:jc w:val="center"/>
            </w:pPr>
            <w:r>
              <w:rPr>
                <w:rFonts w:ascii="Times New Roman" w:eastAsia="SimSun"/>
                <w:b/>
                <w:bCs/>
                <w:color w:val="000000"/>
                <w:sz w:val="20"/>
                <w:szCs w:val="20"/>
              </w:rPr>
              <w:t xml:space="preserve">轻微</w:t>
            </w:r>
          </w:p>
        </w:tc>
        <w:tc>
          <w:tcPr>
            <w:tcW w:type="pct" w:w="56%"/>
            <w:tcMar>
              <w:top w:type="dxa" w:w="50"/>
              <w:left w:type="dxa" w:w="90"/>
              <w:bottom w:type="dxa" w:w="50"/>
              <w:right w:type="dxa" w:w="90"/>
            </w:tcMar>
            <w:vAlign w:val="center"/>
          </w:tcPr>
          <w:p>
            <w:pPr>
              <w:spacing w:after="20" w:before="20" w:line="276"/>
              <w:jc w:val="left"/>
            </w:pPr>
            <w:r>
              <w:rPr>
                <w:rFonts w:ascii="Times New Roman" w:eastAsia="SimSun"/>
                <w:b/>
                <w:bCs/>
                <w:color w:val="000000"/>
                <w:sz w:val="20"/>
                <w:szCs w:val="20"/>
              </w:rPr>
              <w:t xml:space="preserve">位置：封面／标题</w:t>
            </w:r>
          </w:p>
          <w:p>
            <w:pPr>
              <w:spacing w:after="20" w:before="20" w:line="276"/>
              <w:jc w:val="left"/>
            </w:pPr>
            <w:r>
              <w:rPr>
                <w:rFonts w:ascii="Times New Roman" w:eastAsia="SimSun"/>
                <w:b w:val="false"/>
                <w:bCs w:val="false"/>
                <w:color w:val="000000"/>
                <w:sz w:val="20"/>
                <w:szCs w:val="20"/>
              </w:rPr>
              <w:t xml:space="preserve">SRS 原文：封面第二行“软件规格说明书”，正文首页“软件需求规格说明(IEEE 830 标准)”。</w:t>
            </w:r>
          </w:p>
          <w:p>
            <w:pPr>
              <w:spacing w:after="20" w:before="20" w:line="276"/>
              <w:jc w:val="left"/>
            </w:pPr>
            <w:r>
              <w:rPr>
                <w:rFonts w:ascii="Times New Roman" w:eastAsia="SimSun"/>
                <w:b w:val="false"/>
                <w:bCs w:val="false"/>
                <w:color w:val="000000"/>
                <w:sz w:val="20"/>
                <w:szCs w:val="20"/>
              </w:rPr>
              <w:t xml:space="preserve">依据：GB/T 8567-2006 1.1（标识要素：标识号、标题、版本号等）；课程文件命名规范精神。</w:t>
            </w:r>
          </w:p>
          <w:p>
            <w:pPr>
              <w:spacing w:after="20" w:before="20" w:line="276"/>
              <w:jc w:val="left"/>
            </w:pPr>
            <w:r>
              <w:rPr>
                <w:rFonts w:ascii="Times New Roman" w:eastAsia="SimSun"/>
                <w:b w:val="false"/>
                <w:bCs w:val="false"/>
                <w:color w:val="000000"/>
                <w:sz w:val="20"/>
                <w:szCs w:val="20"/>
              </w:rPr>
              <w:t xml:space="preserve">影响：契约性文件书名不统一，影响引用与检索。</w:t>
            </w:r>
          </w:p>
        </w:tc>
        <w:tc>
          <w:tcPr>
            <w:tcW w:type="pct" w:w="32%"/>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统一书名并同步提交件文件名。</w:t>
            </w:r>
          </w:p>
        </w:tc>
      </w:tr>
    </w:tbl>
    <w:p>
      <w:pPr>
        <w:pStyle w:val="Heading1"/>
        <w:spacing w:after="160" w:before="360" w:line="312"/>
        <w:jc w:val="center"/>
      </w:pPr>
      <w:bookmarkStart w:id="100008" w:name="_Toc100008"/>
      <w:r>
        <w:rPr>
          <w:rFonts w:ascii="Times New Roman" w:eastAsia="SimHei"/>
          <w:b/>
          <w:bCs/>
          <w:color w:val="0B1C2C"/>
          <w:sz w:val="32"/>
          <w:szCs w:val="32"/>
        </w:rPr>
        <w:t xml:space="preserve">5　评审结论</w:t>
      </w:r>
      <w:bookmarkEnd w:id="100008"/>
    </w:p>
    <w:p>
      <w:pPr>
        <w:spacing w:after="60" w:line="312"/>
        <w:ind w:firstLine="480"/>
        <w:jc w:val="both"/>
      </w:pPr>
      <w:r>
        <w:rPr>
          <w:rFonts w:ascii="Times New Roman" w:eastAsia="SimSun"/>
          <w:b/>
          <w:bCs/>
          <w:color w:val="000000"/>
          <w:sz w:val="24"/>
          <w:szCs w:val="24"/>
        </w:rPr>
        <w:t xml:space="preserve">结论：部分批准（有条件通过）。</w:t>
      </w:r>
    </w:p>
    <w:p>
      <w:pPr>
        <w:spacing w:after="60" w:line="312"/>
        <w:ind w:firstLine="480"/>
        <w:jc w:val="both"/>
      </w:pPr>
      <w:r>
        <w:rPr>
          <w:rFonts w:ascii="Times New Roman" w:eastAsia="SimSun"/>
          <w:b w:val="false"/>
          <w:bCs w:val="false"/>
          <w:color w:val="000000"/>
          <w:sz w:val="24"/>
          <w:szCs w:val="24"/>
        </w:rPr>
        <w:t xml:space="preserve">理由一：SRS 的结构规范性与非功能量化水平较高（第 3.1 节），作为需求工程文档的骨架是合格的。</w:t>
      </w:r>
    </w:p>
    <w:p>
      <w:pPr>
        <w:spacing w:after="60" w:line="312"/>
        <w:ind w:firstLine="480"/>
        <w:jc w:val="both"/>
      </w:pPr>
      <w:r>
        <w:rPr>
          <w:rFonts w:ascii="Times New Roman" w:eastAsia="SimSun"/>
          <w:b w:val="false"/>
          <w:bCs w:val="false"/>
          <w:color w:val="000000"/>
          <w:sz w:val="24"/>
          <w:szCs w:val="24"/>
        </w:rPr>
        <w:t xml:space="preserve">理由二：被评审方的实现与随附需求对照表证明其对需求框架与澄清口径的理解准确，8 项严重问题全部集中于 SRS 文本失真与关键需求缺失，修订路径明确、成本可控（多数条款以其实现口径回填即可）。</w:t>
      </w:r>
    </w:p>
    <w:p>
      <w:pPr>
        <w:spacing w:after="60" w:line="312"/>
        <w:ind w:firstLine="480"/>
        <w:jc w:val="both"/>
      </w:pPr>
      <w:r>
        <w:rPr>
          <w:rFonts w:ascii="Times New Roman" w:eastAsia="SimSun"/>
          <w:b w:val="false"/>
          <w:bCs w:val="false"/>
          <w:color w:val="000000"/>
          <w:sz w:val="24"/>
          <w:szCs w:val="24"/>
        </w:rPr>
        <w:t xml:space="preserve">理由三：在严重问题修订完成并经复审确认之前，该 SRS 不具备作为设计、测试与验收唯一基准的条件——其 1.1 节自述的“唯一依据”地位即告失效；测试文档中沿用 SRS 错误口径的预期结果（2.2 节第 9、10 项）应随 SRS 修订同步更正。</w:t>
      </w:r>
    </w:p>
    <w:p>
      <w:pPr>
        <w:spacing w:after="60" w:line="312"/>
        <w:ind w:firstLine="480"/>
        <w:jc w:val="both"/>
      </w:pPr>
      <w:r>
        <w:rPr>
          <w:rFonts w:ascii="Times New Roman" w:eastAsia="SimSun"/>
          <w:b w:val="false"/>
          <w:bCs w:val="false"/>
          <w:color w:val="000000"/>
          <w:sz w:val="24"/>
          <w:szCs w:val="24"/>
        </w:rPr>
        <w:t xml:space="preserve">放行意见：需求阶段基线暂缓放行。SQA1 完成 P01～P08 修订（建议随本轮互评反馈后 3 个工作日内）并提供修订说明后，SQA2 以书面方式复核确认，确认后本结论自动转为完全批准，不另召开复审会议。</w:t>
      </w:r>
    </w:p>
    <w:p>
      <w:pPr>
        <w:pStyle w:val="Heading2"/>
        <w:spacing w:after="120" w:before="240" w:line="312"/>
      </w:pPr>
      <w:bookmarkStart w:id="100009" w:name="_Toc100009"/>
      <w:r>
        <w:rPr>
          <w:rFonts w:ascii="Times New Roman" w:eastAsia="SimHei"/>
          <w:b/>
          <w:bCs/>
          <w:color w:val="0B1C2C"/>
          <w:sz w:val="28"/>
          <w:szCs w:val="28"/>
        </w:rPr>
        <w:t xml:space="preserve">5.1　改进方向要点</w:t>
      </w:r>
      <w:bookmarkEnd w:id="100009"/>
    </w:p>
    <w:p>
      <w:pPr>
        <w:spacing w:after="40" w:line="312"/>
        <w:ind w:firstLine="480"/>
        <w:jc w:val="both"/>
      </w:pPr>
      <w:r>
        <w:rPr>
          <w:rFonts w:ascii="Times New Roman" w:eastAsia="SimSun"/>
          <w:b w:val="false"/>
          <w:bCs w:val="false"/>
          <w:color w:val="000000"/>
          <w:sz w:val="24"/>
          <w:szCs w:val="24"/>
        </w:rPr>
        <w:t xml:space="preserve">为便于被评审方快速定位修订重点，将 P01～P17 的修订建议归纳为七个方向：</w:t>
      </w:r>
    </w:p>
    <w:p>
      <w:pPr>
        <w:spacing w:after="60" w:line="312"/>
        <w:jc w:val="both"/>
      </w:pPr>
      <w:r>
        <w:rPr>
          <w:rFonts w:ascii="Times New Roman" w:eastAsia="SimSun"/>
          <w:b w:val="false"/>
          <w:bCs w:val="false"/>
          <w:color w:val="000000"/>
          <w:sz w:val="24"/>
          <w:szCs w:val="24"/>
        </w:rPr>
        <w:t xml:space="preserve">（1）业务规则回填：借阅（上限 2 本可配置、不续借、5 天冷却、3 个工作日站内提醒、确认制诚信记录不可清除、超 3 次停借）与签到（登录／登出自动、两级统计）以框架与澄清口径为准回填，实现口径可直接采用；</w:t>
      </w:r>
    </w:p>
    <w:p>
      <w:pPr>
        <w:spacing w:after="60" w:line="312"/>
        <w:jc w:val="both"/>
      </w:pPr>
      <w:r>
        <w:rPr>
          <w:rFonts w:ascii="Times New Roman" w:eastAsia="SimSun"/>
          <w:b w:val="false"/>
          <w:bCs w:val="false"/>
          <w:color w:val="000000"/>
          <w:sz w:val="24"/>
          <w:szCs w:val="24"/>
        </w:rPr>
        <w:t xml:space="preserve">（2）补字段级数据需求：框架 §2.2 全部信息项与校验规则（工号、学号、姓名条例、照片检测、电话、导师副导师、留学生豁免）按已实现的 validate 规则回填；</w:t>
      </w:r>
    </w:p>
    <w:p>
      <w:pPr>
        <w:spacing w:after="60" w:line="312"/>
        <w:jc w:val="both"/>
      </w:pPr>
      <w:r>
        <w:rPr>
          <w:rFonts w:ascii="Times New Roman" w:eastAsia="SimSun"/>
          <w:b w:val="false"/>
          <w:bCs w:val="false"/>
          <w:color w:val="000000"/>
          <w:sz w:val="24"/>
          <w:szCs w:val="24"/>
        </w:rPr>
        <w:t xml:space="preserve">（3）补结构要素：需求唯一标识（FR-xx）、合格性规定、需求可追踪性、待定问题清单、版本与修订历史、基线说明，并将《技术开发合同》列为需求来源；</w:t>
      </w:r>
    </w:p>
    <w:p>
      <w:pPr>
        <w:spacing w:after="60" w:line="312"/>
        <w:jc w:val="both"/>
      </w:pPr>
      <w:r>
        <w:rPr>
          <w:rFonts w:ascii="Times New Roman" w:eastAsia="SimSun"/>
          <w:b w:val="false"/>
          <w:bCs w:val="false"/>
          <w:color w:val="000000"/>
          <w:sz w:val="24"/>
          <w:szCs w:val="24"/>
        </w:rPr>
        <w:t xml:space="preserve">（4）指标两级标注：区分“甲方要求（可溯源）”与“乙方自定设计目标”，删除或降级无出处的容量类指标；</w:t>
      </w:r>
    </w:p>
    <w:p>
      <w:pPr>
        <w:spacing w:after="60" w:line="312"/>
        <w:jc w:val="both"/>
      </w:pPr>
      <w:r>
        <w:rPr>
          <w:rFonts w:ascii="Times New Roman" w:eastAsia="SimSun"/>
          <w:b w:val="false"/>
          <w:bCs w:val="false"/>
          <w:color w:val="000000"/>
          <w:sz w:val="24"/>
          <w:szCs w:val="24"/>
        </w:rPr>
        <w:t xml:space="preserve">（5）栏目字段对齐框架：师资、课程、科研成果、招生的展示字段逐栏目回填；自加功能标注“扩展”属性；</w:t>
      </w:r>
    </w:p>
    <w:p>
      <w:pPr>
        <w:spacing w:after="60" w:line="312"/>
        <w:jc w:val="both"/>
      </w:pPr>
      <w:r>
        <w:rPr>
          <w:rFonts w:ascii="Times New Roman" w:eastAsia="SimSun"/>
          <w:b w:val="false"/>
          <w:bCs w:val="false"/>
          <w:color w:val="000000"/>
          <w:sz w:val="24"/>
          <w:szCs w:val="24"/>
        </w:rPr>
        <w:t xml:space="preserve">（6）补隐私边界与数据导入需求：游客检索的字段可见性矩阵（学号、姓名、邮箱、照片可公开；电话、出生日期敏感脱敏）、现有网站数据导入功能化并衔接老师下发数据；</w:t>
      </w:r>
    </w:p>
    <w:p>
      <w:pPr>
        <w:spacing w:after="60" w:line="312"/>
        <w:jc w:val="both"/>
      </w:pPr>
      <w:r>
        <w:rPr>
          <w:rFonts w:ascii="Times New Roman" w:eastAsia="SimSun"/>
          <w:b w:val="false"/>
          <w:bCs w:val="false"/>
          <w:color w:val="000000"/>
          <w:sz w:val="24"/>
          <w:szCs w:val="24"/>
        </w:rPr>
        <w:t xml:space="preserve">（7）文档一致性治理：将需求对照表纳入正式文档体系并随变更同步维护，统一书名与命名，测试文档预期随 SRS 修订同步更正。</w:t>
      </w:r>
    </w:p>
    <w:p>
      <w:pPr>
        <w:pStyle w:val="Heading1"/>
        <w:spacing w:after="160" w:before="360" w:line="312"/>
        <w:jc w:val="center"/>
      </w:pPr>
      <w:bookmarkStart w:id="100010" w:name="_Toc100010"/>
      <w:r>
        <w:rPr>
          <w:rFonts w:ascii="Times New Roman" w:eastAsia="SimHei"/>
          <w:b/>
          <w:bCs/>
          <w:color w:val="0B1C2C"/>
          <w:sz w:val="32"/>
          <w:szCs w:val="32"/>
        </w:rPr>
        <w:t xml:space="preserve">6　后续行动与跟踪</w:t>
      </w:r>
      <w:bookmarkEnd w:id="100010"/>
    </w:p>
    <w:p>
      <w:pPr>
        <w:spacing w:after="40" w:line="312"/>
        <w:ind w:firstLine="480"/>
        <w:jc w:val="both"/>
      </w:pPr>
      <w:r>
        <w:rPr>
          <w:rFonts w:ascii="Times New Roman" w:eastAsia="SimSun"/>
          <w:b w:val="false"/>
          <w:bCs w:val="false"/>
          <w:color w:val="000000"/>
          <w:sz w:val="24"/>
          <w:szCs w:val="24"/>
        </w:rPr>
        <w:t xml:space="preserve">按 Oct 13 课件 p72 的 DR 报告要素，后续行动决定、措施完备清单与跟踪人如下：</w:t>
      </w:r>
    </w:p>
    <w:p>
      <w:pPr>
        <w:keepNext/>
        <w:spacing w:after="80" w:before="160" w:line="312"/>
        <w:jc w:val="center"/>
      </w:pPr>
      <w:r>
        <w:rPr>
          <w:rFonts w:ascii="Times New Roman" w:eastAsia="SimHei"/>
          <w:b/>
          <w:bCs/>
          <w:color w:val="000000"/>
          <w:sz w:val="21"/>
          <w:szCs w:val="21"/>
        </w:rPr>
        <w:t xml:space="preserve">表 3-6　后续行动清单</w:t>
      </w:r>
    </w:p>
    <w:tbl>
      <w:tblPr>
        <w:tblW w:type="pct" w:w="100%"/>
        <w:tblBorders>
          <w:top w:val="single" w:color="529286" w:sz="4"/>
          <w:left w:val="none" w:color="FFFFFF" w:sz="0"/>
          <w:bottom w:val="single" w:color="529286" w:sz="4"/>
          <w:right w:val="none" w:color="FFFFFF" w:sz="0"/>
          <w:insideH w:val="single" w:color="BECFCC" w:sz="1"/>
          <w:insideV w:val="single" w:color="BECFCC" w:sz="1"/>
        </w:tblBorders>
      </w:tblPr>
      <w:tblGrid>
        <w:gridCol w:w="100"/>
        <w:gridCol w:w="100"/>
        <w:gridCol w:w="100"/>
        <w:gridCol w:w="100"/>
        <w:gridCol w:w="100"/>
        <w:gridCol w:w="100"/>
      </w:tblGrid>
      <w:tr>
        <w:trPr>
          <w:cantSplit/>
          <w:tblHeader/>
        </w:trPr>
        <w:tc>
          <w:tcPr>
            <w:tcW w:type="pct" w:w="7%"/>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编号</w:t>
            </w:r>
          </w:p>
        </w:tc>
        <w:tc>
          <w:tcPr>
            <w:tcW w:type="pct" w:w="34%"/>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措施</w:t>
            </w:r>
          </w:p>
        </w:tc>
        <w:tc>
          <w:tcPr>
            <w:tcW w:type="pct" w:w="10%"/>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责任方</w:t>
            </w:r>
          </w:p>
        </w:tc>
        <w:tc>
          <w:tcPr>
            <w:tcW w:type="pct" w:w="16%"/>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建议时限</w:t>
            </w:r>
          </w:p>
        </w:tc>
        <w:tc>
          <w:tcPr>
            <w:tcW w:type="pct" w:w="12%"/>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跟踪人</w:t>
            </w:r>
          </w:p>
        </w:tc>
        <w:tc>
          <w:tcPr>
            <w:tcW w:type="pct" w:w="21%"/>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验证方式</w:t>
            </w:r>
          </w:p>
        </w:tc>
      </w:tr>
      <w:tr>
        <w:trPr>
          <w:cantSplit/>
        </w:trPr>
        <w:tc>
          <w:tcPr>
            <w:tcW w:type="pct" w:w="7%"/>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A1</w:t>
            </w:r>
          </w:p>
        </w:tc>
        <w:tc>
          <w:tcPr>
            <w:tcW w:type="pct" w:w="34%"/>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按 P01～P08 修订 SRS 并出具修订说明</w:t>
            </w:r>
          </w:p>
        </w:tc>
        <w:tc>
          <w:tcPr>
            <w:tcW w:type="pct" w:w="1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SQA1</w:t>
            </w:r>
          </w:p>
        </w:tc>
        <w:tc>
          <w:tcPr>
            <w:tcW w:type="pct" w:w="16%"/>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反馈后 3 个工作日内</w:t>
            </w:r>
          </w:p>
        </w:tc>
        <w:tc>
          <w:tcPr>
            <w:tcW w:type="pct" w:w="1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刘罡甫</w:t>
            </w:r>
          </w:p>
        </w:tc>
        <w:tc>
          <w:tcPr>
            <w:tcW w:type="pct" w:w="21%"/>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修订版 SRS 逐条抽查对应条款</w:t>
            </w:r>
          </w:p>
        </w:tc>
      </w:tr>
      <w:tr>
        <w:trPr>
          <w:cantSplit/>
        </w:trPr>
        <w:tc>
          <w:tcPr>
            <w:tcW w:type="pct" w:w="7%"/>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A2</w:t>
            </w:r>
          </w:p>
        </w:tc>
        <w:tc>
          <w:tcPr>
            <w:tcW w:type="pct" w:w="34%"/>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一般问题 P09～P14 提交修订计划或随版修订</w:t>
            </w:r>
          </w:p>
        </w:tc>
        <w:tc>
          <w:tcPr>
            <w:tcW w:type="pct" w:w="1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SQA1</w:t>
            </w:r>
          </w:p>
        </w:tc>
        <w:tc>
          <w:tcPr>
            <w:tcW w:type="pct" w:w="16%"/>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与 A1 同步</w:t>
            </w:r>
          </w:p>
        </w:tc>
        <w:tc>
          <w:tcPr>
            <w:tcW w:type="pct" w:w="1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刘罡甫</w:t>
            </w:r>
          </w:p>
        </w:tc>
        <w:tc>
          <w:tcPr>
            <w:tcW w:type="pct" w:w="21%"/>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修订说明逐条回执</w:t>
            </w:r>
          </w:p>
        </w:tc>
      </w:tr>
      <w:tr>
        <w:trPr>
          <w:cantSplit/>
        </w:trPr>
        <w:tc>
          <w:tcPr>
            <w:tcW w:type="pct" w:w="7%"/>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A3</w:t>
            </w:r>
          </w:p>
        </w:tc>
        <w:tc>
          <w:tcPr>
            <w:tcW w:type="pct" w:w="34%"/>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轻微问题 P15～P17 随下一次文档版次处理</w:t>
            </w:r>
          </w:p>
        </w:tc>
        <w:tc>
          <w:tcPr>
            <w:tcW w:type="pct" w:w="1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SQA1</w:t>
            </w:r>
          </w:p>
        </w:tc>
        <w:tc>
          <w:tcPr>
            <w:tcW w:type="pct" w:w="16%"/>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下一版次</w:t>
            </w:r>
          </w:p>
        </w:tc>
        <w:tc>
          <w:tcPr>
            <w:tcW w:type="pct" w:w="1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刘罡甫</w:t>
            </w:r>
          </w:p>
        </w:tc>
        <w:tc>
          <w:tcPr>
            <w:tcW w:type="pct" w:w="21%"/>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版本对比</w:t>
            </w:r>
          </w:p>
        </w:tc>
      </w:tr>
      <w:tr>
        <w:trPr>
          <w:cantSplit/>
        </w:trPr>
        <w:tc>
          <w:tcPr>
            <w:tcW w:type="pct" w:w="7%"/>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A4</w:t>
            </w:r>
          </w:p>
        </w:tc>
        <w:tc>
          <w:tcPr>
            <w:tcW w:type="pct" w:w="34%"/>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将需求对照表纳入正式文档体系并建立同步维护机制</w:t>
            </w:r>
          </w:p>
        </w:tc>
        <w:tc>
          <w:tcPr>
            <w:tcW w:type="pct" w:w="1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SQA1</w:t>
            </w:r>
          </w:p>
        </w:tc>
        <w:tc>
          <w:tcPr>
            <w:tcW w:type="pct" w:w="16%"/>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与 A1 同步</w:t>
            </w:r>
          </w:p>
        </w:tc>
        <w:tc>
          <w:tcPr>
            <w:tcW w:type="pct" w:w="1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陈彬</w:t>
            </w:r>
          </w:p>
        </w:tc>
        <w:tc>
          <w:tcPr>
            <w:tcW w:type="pct" w:w="21%"/>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检查修订版文档清单</w:t>
            </w:r>
          </w:p>
        </w:tc>
      </w:tr>
      <w:tr>
        <w:trPr>
          <w:cantSplit/>
        </w:trPr>
        <w:tc>
          <w:tcPr>
            <w:tcW w:type="pct" w:w="7%"/>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A5</w:t>
            </w:r>
          </w:p>
        </w:tc>
        <w:tc>
          <w:tcPr>
            <w:tcW w:type="pct" w:w="34%"/>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评审资料（计划、检查表、本报告）打包提交作业5；同步反馈 SQA1</w:t>
            </w:r>
          </w:p>
        </w:tc>
        <w:tc>
          <w:tcPr>
            <w:tcW w:type="pct" w:w="1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SQA2</w:t>
            </w:r>
          </w:p>
        </w:tc>
        <w:tc>
          <w:tcPr>
            <w:tcW w:type="pct" w:w="16%"/>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10-23 前</w:t>
            </w:r>
          </w:p>
        </w:tc>
        <w:tc>
          <w:tcPr>
            <w:tcW w:type="pct" w:w="12%"/>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刘罡甫</w:t>
            </w:r>
          </w:p>
        </w:tc>
        <w:tc>
          <w:tcPr>
            <w:tcW w:type="pct" w:w="21%"/>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延河课堂提交记录</w:t>
            </w:r>
          </w:p>
        </w:tc>
      </w:tr>
    </w:tbl>
    <w:p>
      <w:pPr>
        <w:pStyle w:val="Heading1"/>
        <w:spacing w:after="160" w:before="360" w:line="312"/>
        <w:jc w:val="center"/>
      </w:pPr>
      <w:bookmarkStart w:id="100011" w:name="_Toc100011"/>
      <w:r>
        <w:rPr>
          <w:rFonts w:ascii="Times New Roman" w:eastAsia="SimHei"/>
          <w:b/>
          <w:bCs/>
          <w:color w:val="0B1C2C"/>
          <w:sz w:val="32"/>
          <w:szCs w:val="32"/>
        </w:rPr>
        <w:t xml:space="preserve">7　附录</w:t>
      </w:r>
      <w:bookmarkEnd w:id="100011"/>
    </w:p>
    <w:p>
      <w:pPr>
        <w:pStyle w:val="Heading2"/>
        <w:spacing w:after="120" w:before="240" w:line="312"/>
      </w:pPr>
      <w:bookmarkStart w:id="100012" w:name="_Toc100012"/>
      <w:r>
        <w:rPr>
          <w:rFonts w:ascii="Times New Roman" w:eastAsia="SimHei"/>
          <w:b/>
          <w:bCs/>
          <w:color w:val="0B1C2C"/>
          <w:sz w:val="28"/>
          <w:szCs w:val="28"/>
        </w:rPr>
        <w:t xml:space="preserve">7.1　附录 A：范围外顺带观察</w:t>
      </w:r>
      <w:bookmarkEnd w:id="100012"/>
    </w:p>
    <w:p>
      <w:pPr>
        <w:spacing w:after="40" w:line="312"/>
        <w:ind w:firstLine="480"/>
        <w:jc w:val="both"/>
      </w:pPr>
      <w:r>
        <w:rPr>
          <w:rFonts w:ascii="Times New Roman" w:eastAsia="SimSun"/>
          <w:b w:val="false"/>
          <w:bCs w:val="false"/>
          <w:color w:val="000000"/>
          <w:sz w:val="24"/>
          <w:szCs w:val="24"/>
        </w:rPr>
        <w:t xml:space="preserve">以下观察不属本次需求评审范围，不构成本报告结论的组成部分，仅作友好提示：</w:t>
      </w:r>
    </w:p>
    <w:p>
      <w:pPr>
        <w:spacing w:after="60" w:line="312"/>
        <w:jc w:val="both"/>
      </w:pPr>
      <w:r>
        <w:rPr>
          <w:rFonts w:ascii="Times New Roman" w:eastAsia="SimSun"/>
          <w:b w:val="false"/>
          <w:bCs w:val="false"/>
          <w:color w:val="000000"/>
          <w:sz w:val="24"/>
          <w:szCs w:val="24"/>
        </w:rPr>
        <w:t xml:space="preserve">（1）交付包内含 Go 构建缓存（.gocache，约 1.9 万个文件）与 dist 编译产物，建议清理后重新打包，便于互评组快速解压审阅；</w:t>
      </w:r>
    </w:p>
    <w:p>
      <w:pPr>
        <w:spacing w:after="60" w:line="312"/>
        <w:jc w:val="both"/>
      </w:pPr>
      <w:r>
        <w:rPr>
          <w:rFonts w:ascii="Times New Roman" w:eastAsia="SimSun"/>
          <w:b w:val="false"/>
          <w:bCs w:val="false"/>
          <w:color w:val="000000"/>
          <w:sz w:val="24"/>
          <w:szCs w:val="24"/>
        </w:rPr>
        <w:t xml:space="preserve">（2）演示视频约 186MB，建议关注提交入口对时长大小的上限要求；</w:t>
      </w:r>
    </w:p>
    <w:p>
      <w:pPr>
        <w:spacing w:after="60" w:line="312"/>
        <w:jc w:val="both"/>
      </w:pPr>
      <w:r>
        <w:rPr>
          <w:rFonts w:ascii="Times New Roman" w:eastAsia="SimSun"/>
          <w:b w:val="false"/>
          <w:bCs w:val="false"/>
          <w:color w:val="000000"/>
          <w:sz w:val="24"/>
          <w:szCs w:val="24"/>
        </w:rPr>
        <w:t xml:space="preserve">（3）技术开发合同_SQA1 为 .doc 格式，课堂命名规则要求文档为 docx 格式，建议转换后随交付物更正；</w:t>
      </w:r>
    </w:p>
    <w:p>
      <w:pPr>
        <w:spacing w:after="60" w:line="312"/>
        <w:jc w:val="both"/>
      </w:pPr>
      <w:r>
        <w:rPr>
          <w:rFonts w:ascii="Times New Roman" w:eastAsia="SimSun"/>
          <w:b w:val="false"/>
          <w:bCs w:val="false"/>
          <w:color w:val="000000"/>
          <w:sz w:val="24"/>
          <w:szCs w:val="24"/>
        </w:rPr>
        <w:t xml:space="preserve">（4）数据库文件 ndi.db（含演示数据）随源码包携带，建议与源码分离并在版本说明中注明初始化方式。</w:t>
      </w:r>
    </w:p>
    <w:p>
      <w:pPr>
        <w:pStyle w:val="Heading2"/>
        <w:spacing w:after="120" w:before="240" w:line="312"/>
      </w:pPr>
      <w:bookmarkStart w:id="100013" w:name="_Toc100013"/>
      <w:r>
        <w:rPr>
          <w:rFonts w:ascii="Times New Roman" w:eastAsia="SimHei"/>
          <w:b/>
          <w:bCs/>
          <w:color w:val="0B1C2C"/>
          <w:sz w:val="28"/>
          <w:szCs w:val="28"/>
        </w:rPr>
        <w:t xml:space="preserve">7.2　附录 B：评审依据文件清单</w:t>
      </w:r>
      <w:bookmarkEnd w:id="100013"/>
    </w:p>
    <w:p>
      <w:pPr>
        <w:spacing w:after="60" w:line="312"/>
        <w:ind w:firstLine="480"/>
        <w:jc w:val="both"/>
      </w:pPr>
      <w:r>
        <w:rPr>
          <w:rFonts w:ascii="Times New Roman" w:eastAsia="SimSun"/>
          <w:b w:val="false"/>
          <w:bCs w:val="false"/>
          <w:color w:val="000000"/>
          <w:sz w:val="24"/>
          <w:szCs w:val="24"/>
        </w:rPr>
        <w:t xml:space="preserve">见《需求评审计划_SQA2》表 1-1（编号 Y1～Y10），含业务需求框架 V3.3.1、两轮澄清口径、GB/T 8567-2006 7.11（经核验现行最新、未被替代）、GB/T 9385-2008《计算机软件需求规格说明规范》（SRS 专用现行国标，与 IEEE 830-1998 同源，其 4.4 节八项特性用作质量基准）、GB/T 45802-2025《系统与软件工程 生存周期过程 需求工程》（等同采用 ISO/IEC/IEEE 29148:2018，2025-12-01 实施，现行最新需求工程国标，前瞻参考）、IEEE 830-1998、老师 2026-10-12 下发《选择1 基础数据（部分）》9 份 xlsx（Y10）、课件 Oct 13 与 Oct 20、课后作业4_SQA1.zip。</w:t>
      </w:r>
    </w:p>
    <w:p>
      <w:pPr>
        <w:pStyle w:val="Heading2"/>
        <w:spacing w:after="120" w:before="240" w:line="312"/>
      </w:pPr>
      <w:bookmarkStart w:id="100014" w:name="_Toc100014"/>
      <w:r>
        <w:rPr>
          <w:rFonts w:ascii="Times New Roman" w:eastAsia="SimHei"/>
          <w:b/>
          <w:bCs/>
          <w:color w:val="0B1C2C"/>
          <w:sz w:val="28"/>
          <w:szCs w:val="28"/>
        </w:rPr>
        <w:t xml:space="preserve">7.3　附录 C：评审组签字</w:t>
      </w:r>
      <w:bookmarkEnd w:id="100014"/>
    </w:p>
    <w:p>
      <w:pPr>
        <w:keepNext/>
        <w:spacing w:after="80" w:before="160" w:line="312"/>
        <w:jc w:val="center"/>
      </w:pPr>
      <w:r>
        <w:rPr>
          <w:rFonts w:ascii="Times New Roman" w:eastAsia="SimHei"/>
          <w:b/>
          <w:bCs/>
          <w:color w:val="000000"/>
          <w:sz w:val="21"/>
          <w:szCs w:val="21"/>
        </w:rPr>
        <w:t xml:space="preserve">表 3-7　评审组签字</w:t>
      </w:r>
    </w:p>
    <w:tbl>
      <w:tblPr>
        <w:tblW w:type="pct" w:w="100%"/>
        <w:tblBorders>
          <w:top w:val="single" w:color="529286" w:sz="4"/>
          <w:left w:val="none" w:color="FFFFFF" w:sz="0"/>
          <w:bottom w:val="single" w:color="529286" w:sz="4"/>
          <w:right w:val="none" w:color="FFFFFF" w:sz="0"/>
          <w:insideH w:val="single" w:color="BECFCC" w:sz="1"/>
          <w:insideV w:val="single" w:color="BECFCC" w:sz="1"/>
        </w:tblBorders>
      </w:tblPr>
      <w:tblGrid>
        <w:gridCol w:w="100"/>
        <w:gridCol w:w="100"/>
        <w:gridCol w:w="100"/>
      </w:tblGrid>
      <w:tr>
        <w:trPr>
          <w:cantSplit/>
          <w:tblHeader/>
        </w:trPr>
        <w:tc>
          <w:tcPr>
            <w:tcW w:type="pct" w:w="24%"/>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1"/>
                <w:szCs w:val="21"/>
              </w:rPr>
              <w:t xml:space="preserve">成员</w:t>
            </w:r>
          </w:p>
        </w:tc>
        <w:tc>
          <w:tcPr>
            <w:tcW w:type="pct" w:w="36%"/>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1"/>
                <w:szCs w:val="21"/>
              </w:rPr>
              <w:t xml:space="preserve">角色</w:t>
            </w:r>
          </w:p>
        </w:tc>
        <w:tc>
          <w:tcPr>
            <w:tcW w:type="pct" w:w="40%"/>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1"/>
                <w:szCs w:val="21"/>
              </w:rPr>
              <w:t xml:space="preserve">签字</w:t>
            </w:r>
          </w:p>
        </w:tc>
      </w:tr>
      <w:tr>
        <w:trPr>
          <w:cantSplit/>
        </w:trPr>
        <w:tc>
          <w:tcPr>
            <w:tcW w:type="pct" w:w="24%"/>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刘罡甫</w:t>
            </w:r>
          </w:p>
        </w:tc>
        <w:tc>
          <w:tcPr>
            <w:tcW w:type="pct" w:w="36%"/>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评审组长</w:t>
            </w:r>
          </w:p>
        </w:tc>
        <w:tc>
          <w:tcPr>
            <w:tcW w:type="pct" w:w="40%"/>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
            </w:r>
          </w:p>
        </w:tc>
      </w:tr>
      <w:tr>
        <w:trPr>
          <w:cantSplit/>
        </w:trPr>
        <w:tc>
          <w:tcPr>
            <w:tcW w:type="pct" w:w="24%"/>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钟坤宇</w:t>
            </w:r>
          </w:p>
        </w:tc>
        <w:tc>
          <w:tcPr>
            <w:tcW w:type="pct" w:w="36%"/>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评审员</w:t>
            </w:r>
          </w:p>
        </w:tc>
        <w:tc>
          <w:tcPr>
            <w:tcW w:type="pct" w:w="40%"/>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
            </w:r>
          </w:p>
        </w:tc>
      </w:tr>
      <w:tr>
        <w:trPr>
          <w:cantSplit/>
        </w:trPr>
        <w:tc>
          <w:tcPr>
            <w:tcW w:type="pct" w:w="24%"/>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杨峥</w:t>
            </w:r>
          </w:p>
        </w:tc>
        <w:tc>
          <w:tcPr>
            <w:tcW w:type="pct" w:w="36%"/>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评审员</w:t>
            </w:r>
          </w:p>
        </w:tc>
        <w:tc>
          <w:tcPr>
            <w:tcW w:type="pct" w:w="40%"/>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
            </w:r>
          </w:p>
        </w:tc>
      </w:tr>
      <w:tr>
        <w:trPr>
          <w:cantSplit/>
        </w:trPr>
        <w:tc>
          <w:tcPr>
            <w:tcW w:type="pct" w:w="24%"/>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韦政治</w:t>
            </w:r>
          </w:p>
        </w:tc>
        <w:tc>
          <w:tcPr>
            <w:tcW w:type="pct" w:w="36%"/>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评审员</w:t>
            </w:r>
          </w:p>
        </w:tc>
        <w:tc>
          <w:tcPr>
            <w:tcW w:type="pct" w:w="40%"/>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
            </w:r>
          </w:p>
        </w:tc>
      </w:tr>
      <w:tr>
        <w:trPr>
          <w:cantSplit/>
        </w:trPr>
        <w:tc>
          <w:tcPr>
            <w:tcW w:type="pct" w:w="24%"/>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陈彬</w:t>
            </w:r>
          </w:p>
        </w:tc>
        <w:tc>
          <w:tcPr>
            <w:tcW w:type="pct" w:w="36%"/>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1"/>
                <w:szCs w:val="21"/>
              </w:rPr>
              <w:t xml:space="preserve">评审员兼记录员</w:t>
            </w:r>
          </w:p>
        </w:tc>
        <w:tc>
          <w:tcPr>
            <w:tcW w:type="pct" w:w="40%"/>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1"/>
                <w:szCs w:val="21"/>
              </w:rPr>
              <w:t xml:space="preserve"/>
            </w:r>
          </w:p>
        </w:tc>
      </w:tr>
    </w:tbl>
    <w:p>
      <w:pPr>
        <w:keepNext/>
        <w:spacing w:after="80" w:before="160" w:line="312"/>
        <w:jc w:val="center"/>
      </w:pPr>
      <w:r>
        <w:rPr>
          <w:rFonts w:ascii="Times New Roman" w:eastAsia="SimHei"/>
          <w:b/>
          <w:bCs/>
          <w:color w:val="000000"/>
          <w:sz w:val="21"/>
          <w:szCs w:val="21"/>
        </w:rPr>
        <w:t xml:space="preserve">修订历史</w:t>
      </w:r>
    </w:p>
    <w:tbl>
      <w:tblPr>
        <w:tblW w:type="pct" w:w="100%"/>
        <w:tblBorders>
          <w:top w:val="single" w:color="529286" w:sz="4"/>
          <w:left w:val="none" w:color="FFFFFF" w:sz="0"/>
          <w:bottom w:val="single" w:color="529286" w:sz="4"/>
          <w:right w:val="none" w:color="FFFFFF" w:sz="0"/>
          <w:insideH w:val="single" w:color="BECFCC" w:sz="1"/>
          <w:insideV w:val="single" w:color="BECFCC" w:sz="1"/>
        </w:tblBorders>
      </w:tblPr>
      <w:tblGrid>
        <w:gridCol w:w="100"/>
        <w:gridCol w:w="100"/>
        <w:gridCol w:w="100"/>
        <w:gridCol w:w="100"/>
      </w:tblGrid>
      <w:tr>
        <w:trPr>
          <w:cantSplit/>
          <w:tblHeader/>
        </w:trPr>
        <w:tc>
          <w:tcPr>
            <w:tcW w:type="pct" w:w="14%"/>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日期</w:t>
            </w:r>
          </w:p>
        </w:tc>
        <w:tc>
          <w:tcPr>
            <w:tcW w:type="pct" w:w="10%"/>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版本</w:t>
            </w:r>
          </w:p>
        </w:tc>
        <w:tc>
          <w:tcPr>
            <w:tcW w:type="pct" w:w="58%"/>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说明</w:t>
            </w:r>
          </w:p>
        </w:tc>
        <w:tc>
          <w:tcPr>
            <w:tcW w:type="pct" w:w="18%"/>
            <w:shd w:fill="529286" w:val="clear"/>
            <w:tcMar>
              <w:top w:type="dxa" w:w="50"/>
              <w:left w:type="dxa" w:w="90"/>
              <w:bottom w:type="dxa" w:w="50"/>
              <w:right w:type="dxa" w:w="90"/>
            </w:tcMar>
            <w:vAlign w:val="center"/>
          </w:tcPr>
          <w:p>
            <w:pPr>
              <w:spacing w:after="20" w:before="20" w:line="276"/>
              <w:jc w:val="center"/>
            </w:pPr>
            <w:r>
              <w:rPr>
                <w:rFonts w:ascii="Times New Roman" w:eastAsia="SimHei"/>
                <w:b/>
                <w:bCs/>
                <w:color w:val="FFFFFF"/>
                <w:sz w:val="20"/>
                <w:szCs w:val="20"/>
              </w:rPr>
              <w:t xml:space="preserve">作者</w:t>
            </w:r>
          </w:p>
        </w:tc>
      </w:tr>
      <w:tr>
        <w:trPr>
          <w:cantSplit/>
        </w:trPr>
        <w:tc>
          <w:tcPr>
            <w:tcW w:type="pct" w:w="14%"/>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2026-10-20</w:t>
            </w:r>
          </w:p>
        </w:tc>
        <w:tc>
          <w:tcPr>
            <w:tcW w:type="pct" w:w="1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V1.0</w:t>
            </w:r>
          </w:p>
        </w:tc>
        <w:tc>
          <w:tcPr>
            <w:tcW w:type="pct" w:w="5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会前核查完成，形成问题清单初稿（评审组长主持，AI 辅助比对；四名评审员分域复核）</w:t>
            </w:r>
          </w:p>
        </w:tc>
        <w:tc>
          <w:tcPr>
            <w:tcW w:type="pct" w:w="18%"/>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SQA2 评审组</w:t>
            </w:r>
          </w:p>
        </w:tc>
      </w:tr>
      <w:tr>
        <w:trPr>
          <w:cantSplit/>
        </w:trPr>
        <w:tc>
          <w:tcPr>
            <w:tcW w:type="pct" w:w="14%"/>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2026-10-20</w:t>
            </w:r>
          </w:p>
        </w:tc>
        <w:tc>
          <w:tcPr>
            <w:tcW w:type="pct" w:w="1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V1.1</w:t>
            </w:r>
          </w:p>
        </w:tc>
        <w:tc>
          <w:tcPr>
            <w:tcW w:type="pct" w:w="5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增补最新国标依据：核验 GB/T 8567-2006 现行未替代；引入 GB/T 9385-2008（八项特性基准）与 GB/T 45802-2025（前瞻参考），问题清单结论不变</w:t>
            </w:r>
          </w:p>
        </w:tc>
        <w:tc>
          <w:tcPr>
            <w:tcW w:type="pct" w:w="18%"/>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SQA2 评审组</w:t>
            </w:r>
          </w:p>
        </w:tc>
      </w:tr>
      <w:tr>
        <w:trPr>
          <w:cantSplit/>
        </w:trPr>
        <w:tc>
          <w:tcPr>
            <w:tcW w:type="pct" w:w="14%"/>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2026-10-21</w:t>
            </w:r>
          </w:p>
        </w:tc>
        <w:tc>
          <w:tcPr>
            <w:tcW w:type="pct" w:w="1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V1.2</w:t>
            </w:r>
          </w:p>
        </w:tc>
        <w:tc>
          <w:tcPr>
            <w:tcW w:type="pct" w:w="5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按作业3 讲评样例（SQA8／SQA10 评审意见）增补“定位＋原文引用”引证体例：每项问题给出 SRS 原文与上位文档原文引语；评审会议逐条表决确认，定稿结论：部分批准</w:t>
            </w:r>
          </w:p>
        </w:tc>
        <w:tc>
          <w:tcPr>
            <w:tcW w:type="pct" w:w="18%"/>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SQA2 评审组</w:t>
            </w:r>
          </w:p>
        </w:tc>
      </w:tr>
      <w:tr>
        <w:trPr>
          <w:cantSplit/>
        </w:trPr>
        <w:tc>
          <w:tcPr>
            <w:tcW w:type="pct" w:w="14%"/>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2026-10-21</w:t>
            </w:r>
          </w:p>
        </w:tc>
        <w:tc>
          <w:tcPr>
            <w:tcW w:type="pct" w:w="1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V1.3</w:t>
            </w:r>
          </w:p>
        </w:tc>
        <w:tc>
          <w:tcPr>
            <w:tcW w:type="pct" w:w="5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会议记录独立成册为《评审会议记录_SQA2》（本报告 2.2 节保留会议简况）；新增 5.1 改进方向要点（七个方向）；与计划、勾选后检查表、会议记录一并打包为 作业5_SQA2.zip</w:t>
            </w:r>
          </w:p>
        </w:tc>
        <w:tc>
          <w:tcPr>
            <w:tcW w:type="pct" w:w="18%"/>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SQA2 评审组</w:t>
            </w:r>
          </w:p>
        </w:tc>
      </w:tr>
      <w:tr>
        <w:trPr>
          <w:cantSplit/>
        </w:trPr>
        <w:tc>
          <w:tcPr>
            <w:tcW w:type="pct" w:w="14%"/>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2026-10-21</w:t>
            </w:r>
          </w:p>
        </w:tc>
        <w:tc>
          <w:tcPr>
            <w:tcW w:type="pct" w:w="1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V1.4</w:t>
            </w:r>
          </w:p>
        </w:tc>
        <w:tc>
          <w:tcPr>
            <w:tcW w:type="pct" w:w="5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依据会前三份组员核查意见修订：E1 改判“部分符合”并同步统计（符合 11／部分符合 12／不符合 26）；P03 补实现侧“违规可撤销”与澄清口径冲突、P07 改“有全局规则无字段规则”并注明 C6 共同缺失、P09 限定人员检索范围、P11 补“非完全未实现”、P12 改逐条对照并修位置、P13 修位置与建议；2.3 节时间线统一；封面版本同步</w:t>
            </w:r>
          </w:p>
        </w:tc>
        <w:tc>
          <w:tcPr>
            <w:tcW w:type="pct" w:w="18%"/>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SQA2 评审组</w:t>
            </w:r>
          </w:p>
        </w:tc>
      </w:tr>
      <w:tr>
        <w:trPr>
          <w:cantSplit/>
        </w:trPr>
        <w:tc>
          <w:tcPr>
            <w:tcW w:type="pct" w:w="14%"/>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2026-10-21</w:t>
            </w:r>
          </w:p>
        </w:tc>
        <w:tc>
          <w:tcPr>
            <w:tcW w:type="pct" w:w="1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V1.5</w:t>
            </w:r>
          </w:p>
        </w:tc>
        <w:tc>
          <w:tcPr>
            <w:tcW w:type="pct" w:w="5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依据杨峥会前复核意见修订：B12、B15 改判“部分符合”，统计更正为 10／14／25；P05 引语分段并限定源码为辅证、P06 收紧为“审核主体混称与业务授权机制不完整”（补审批路由放行系统管理员事实）、P10 收紧为“整站迁移需求不完整”、P02 并入 5 天冷却期规则；2.2 节统计与裁决数同步</w:t>
            </w:r>
          </w:p>
        </w:tc>
        <w:tc>
          <w:tcPr>
            <w:tcW w:type="pct" w:w="18%"/>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SQA2 评审组</w:t>
            </w:r>
          </w:p>
        </w:tc>
      </w:tr>
      <w:tr>
        <w:trPr>
          <w:cantSplit/>
        </w:trPr>
        <w:tc>
          <w:tcPr>
            <w:tcW w:type="pct" w:w="14%"/>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2026-10-21</w:t>
            </w:r>
          </w:p>
        </w:tc>
        <w:tc>
          <w:tcPr>
            <w:tcW w:type="pct" w:w="10%"/>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V1.6</w:t>
            </w:r>
          </w:p>
        </w:tc>
        <w:tc>
          <w:tcPr>
            <w:tcW w:type="pct" w:w="58%"/>
            <w:tcMar>
              <w:top w:type="dxa" w:w="50"/>
              <w:left w:type="dxa" w:w="90"/>
              <w:bottom w:type="dxa" w:w="50"/>
              <w:right w:type="dxa" w:w="90"/>
            </w:tcMar>
            <w:vAlign w:val="center"/>
          </w:tcPr>
          <w:p>
            <w:pPr>
              <w:spacing w:after="20" w:before="20" w:line="276"/>
              <w:jc w:val="left"/>
            </w:pPr>
            <w:r>
              <w:rPr>
                <w:rFonts w:ascii="Times New Roman" w:eastAsia="SimSun"/>
                <w:b w:val="false"/>
                <w:bCs w:val="false"/>
                <w:color w:val="000000"/>
                <w:sz w:val="20"/>
                <w:szCs w:val="20"/>
              </w:rPr>
              <w:t xml:space="preserve">2.3 节定稿主语补“评审组长”＋V1.0 历史行补组长主持归属；封面版本同步</w:t>
            </w:r>
          </w:p>
        </w:tc>
        <w:tc>
          <w:tcPr>
            <w:tcW w:type="pct" w:w="18%"/>
            <w:tcMar>
              <w:top w:type="dxa" w:w="50"/>
              <w:left w:type="dxa" w:w="90"/>
              <w:bottom w:type="dxa" w:w="50"/>
              <w:right w:type="dxa" w:w="90"/>
            </w:tcMar>
            <w:vAlign w:val="center"/>
          </w:tcPr>
          <w:p>
            <w:pPr>
              <w:spacing w:after="20" w:before="20" w:line="276"/>
              <w:jc w:val="center"/>
            </w:pPr>
            <w:r>
              <w:rPr>
                <w:rFonts w:ascii="Times New Roman" w:eastAsia="SimSun"/>
                <w:b w:val="false"/>
                <w:bCs w:val="false"/>
                <w:color w:val="000000"/>
                <w:sz w:val="20"/>
                <w:szCs w:val="20"/>
              </w:rPr>
              <w:t xml:space="preserve">刘罡甫</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2" w:space="4"/>
      </w:pBdr>
      <w:jc w:val="center"/>
    </w:pPr>
    <w:r>
      <w:rPr>
        <w:rFonts w:ascii="Times New Roman" w:eastAsia="SimSun"/>
        <w:color w:val="999999"/>
        <w:sz w:val="16"/>
        <w:szCs w:val="16"/>
      </w:rPr>
      <w:t xml:space="preserve">需求评审报告（SQA2）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B1C2C"/>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B1C2C"/>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2026-10-21T15:30:32.765Z</dcterms:created>
  <dcterms:modified xsi:type="dcterms:W3CDTF">2026-10-21T15:30:32.765Z</dcterms:modified>
</cp:coreProperties>
</file>

<file path=docProps/custom.xml><?xml version="1.0" encoding="utf-8"?>
<Properties xmlns="http://schemas.openxmlformats.org/officeDocument/2006/custom-properties" xmlns:vt="http://schemas.openxmlformats.org/officeDocument/2006/docPropsVTypes"/>
</file>