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内部端开发与使用说明</w:t>
      </w:r>
    </w:p>
    <w:p>
      <w:r>
        <w:t>网络攻防对抗技术研究所管理系统  SQA2  杨峥</w:t>
      </w:r>
    </w:p>
    <w:p>
      <w:r>
        <w:t>本文说明注册用户端及管理员端的需求范围、实现设计、操作步骤和验证结果，供陈彬并入需求规格说明书、系统设计说明书、用户手册及测试文档。代码与章节由 Codex 辅助生成，正式评审和项目总体验收由小组另行组织。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64"/>
        <w:gridCol w:w="5616"/>
        <w:gridCol w:w="2088"/>
      </w:tblGrid>
      <w:tr>
        <w:trPr>
          <w:cantSplit/>
          <w:tblHeader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F3C6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FFFFFF"/>
                <w:sz w:val="19"/>
              </w:rPr>
              <w:t>日期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F3C6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FFFFFF"/>
                <w:sz w:val="19"/>
              </w:rPr>
              <w:t>版本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F3C6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FFFFFF"/>
                <w:sz w:val="19"/>
              </w:rPr>
              <w:t>修订说明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F3C6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FFFFFF"/>
                <w:sz w:val="19"/>
              </w:rPr>
              <w:t>编制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000000"/>
                <w:sz w:val="19"/>
              </w:rPr>
              <w:t>2026-10-18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000000"/>
                <w:sz w:val="19"/>
              </w:rPr>
              <w:t>V1.0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000000"/>
                <w:sz w:val="19"/>
              </w:rPr>
              <w:t>内部端实现、操作说明及验证记录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000000"/>
                <w:sz w:val="19"/>
              </w:rPr>
              <w:t>杨峥 Codex辅助</w:t>
            </w:r>
          </w:p>
        </w:tc>
      </w:tr>
    </w:tbl>
    <w:p>
      <w:pPr>
        <w:pStyle w:val="Heading1"/>
      </w:pPr>
      <w:r>
        <w:t>1 需求范围与验收映射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4752"/>
        <w:gridCol w:w="3744"/>
      </w:tblGrid>
      <w:tr>
        <w:trPr>
          <w:cantSplit/>
          <w:tblHeader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F3C6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FFFFFF"/>
                <w:sz w:val="19"/>
              </w:rPr>
              <w:t>指标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F3C6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FFFFFF"/>
                <w:sz w:val="19"/>
              </w:rPr>
              <w:t>内部端实现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F3C6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FFFFFF"/>
                <w:sz w:val="19"/>
              </w:rPr>
              <w:t>访问边界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000000"/>
                <w:sz w:val="19"/>
              </w:rPr>
              <w:t>A-02 A-03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000000"/>
                <w:sz w:val="19"/>
              </w:rPr>
              <w:t>登录自动签到、退出签出；所长和教师统计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000000"/>
                <w:sz w:val="19"/>
              </w:rPr>
              <w:t>所长看全员，全职教师看名下学生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000000"/>
                <w:sz w:val="19"/>
              </w:rPr>
              <w:t>A-04 F-03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000000"/>
                <w:sz w:val="19"/>
              </w:rPr>
              <w:t>目录检索、申请审核、归还登记、上限设置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000000"/>
                <w:sz w:val="19"/>
              </w:rPr>
              <w:t>借阅用户与图书管理教师分工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000000"/>
                <w:sz w:val="19"/>
              </w:rPr>
              <w:t>A-04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000000"/>
                <w:sz w:val="19"/>
              </w:rPr>
              <w:t>应还日期、到期标记、站内提醒、只读诚信记录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000000"/>
                <w:sz w:val="19"/>
              </w:rPr>
              <w:t>记录永久保留；超过3次停借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000000"/>
                <w:sz w:val="19"/>
              </w:rPr>
              <w:t>A-05 A-06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000000"/>
                <w:sz w:val="19"/>
              </w:rPr>
              <w:t>八类下载、用户手册在线阅读及索引查询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000000"/>
                <w:sz w:val="19"/>
              </w:rPr>
              <w:t>未登录不得访问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000000"/>
                <w:sz w:val="19"/>
              </w:rPr>
              <w:t>A-07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000000"/>
                <w:sz w:val="19"/>
              </w:rPr>
              <w:t>用户维护、停用、重置密码、CSV/XLSX行级导入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000000"/>
                <w:sz w:val="19"/>
              </w:rPr>
              <w:t>仅系统管理员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000000"/>
                <w:sz w:val="19"/>
              </w:rPr>
              <w:t>A-07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000000"/>
                <w:sz w:val="19"/>
              </w:rPr>
              <w:t>七类门户内容、图片视频附件及下载资料维护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000000"/>
                <w:sz w:val="19"/>
              </w:rPr>
              <w:t>仅系统管理员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000000"/>
                <w:sz w:val="19"/>
              </w:rPr>
              <w:t>B-02 至 B-06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000000"/>
                <w:sz w:val="19"/>
              </w:rPr>
              <w:t>档案字段提示、留学生豁免、照片在线检测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000000"/>
                <w:sz w:val="19"/>
              </w:rPr>
              <w:t>后端统一校验，422逐字段显示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000000"/>
                <w:sz w:val="19"/>
              </w:rPr>
              <w:t>B-07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000000"/>
                <w:sz w:val="19"/>
              </w:rPr>
              <w:t>本人敏感资料仅在内存中使用，路由重新核验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000000"/>
                <w:sz w:val="19"/>
              </w:rPr>
              <w:t>本人档案与管理员界面需鉴权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000000"/>
                <w:sz w:val="19"/>
              </w:rPr>
              <w:t>D-01 D-02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000000"/>
                <w:sz w:val="19"/>
              </w:rPr>
              <w:t>备份计划及文件、创建下载、二次确认恢复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000000"/>
                <w:sz w:val="19"/>
              </w:rPr>
              <w:t>仅系统管理员</w:t>
            </w:r>
          </w:p>
        </w:tc>
      </w:tr>
    </w:tbl>
    <w:p>
      <w:r>
        <w:t>依据：业务需求框架 V3.3.1 第2.2、3.2、3.3、4章；合同澄清修订版附件1；第二轮澄清；仓库接口规范 v1.0。仅做中文版。</w:t>
      </w:r>
    </w:p>
    <w:p>
      <w:pPr>
        <w:pStyle w:val="Heading1"/>
      </w:pPr>
      <w:r>
        <w:t>2 内部端设计</w:t>
      </w:r>
    </w:p>
    <w:p>
      <w:pPr>
        <w:pStyle w:val="Heading2"/>
      </w:pPr>
      <w:r>
        <w:t>页面与请求结构</w:t>
      </w:r>
    </w:p>
    <w:p>
      <w:r>
        <w:t>前端沿用 Vue 3、Vite、Vue Router、Pinia、Element Plus 和 Axios。WorkLayout 提供左侧导航、当前身份、站内提醒及签出入口。views/me 和 views/admin 实现业务页面；api/internal.js 集中封装既有 REST 接口，统一经 /api/v1 访问后端。</w:t>
      </w:r>
    </w:p>
    <w:p>
      <w:r>
        <w:t>usePaged 负责分页、空结果和加载失败重试，并忽略过期请求结果；useTask 阻止重复提交，保存服务端字段错误。照片检测、通用字段、批量导入和表格分页为复用组件。表格在窄屏内部横向滚动，导航可换行。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6480"/>
      </w:tblGrid>
      <w:tr>
        <w:trPr>
          <w:cantSplit/>
          <w:tblHeader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F3C6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FFFFFF"/>
                <w:sz w:val="19"/>
              </w:rPr>
              <w:t>身份条件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F3C6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FFFFFF"/>
                <w:sz w:val="19"/>
              </w:rPr>
              <w:t>可访问能力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000000"/>
                <w:sz w:val="19"/>
              </w:rPr>
              <w:t>已登录账号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000000"/>
                <w:sz w:val="19"/>
              </w:rPr>
              <w:t>工作台、本人档案、图书、提醒、下载及帮助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000000"/>
                <w:sz w:val="19"/>
              </w:rPr>
              <w:t>identityType=teacher 且 teacherType=full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000000"/>
                <w:sz w:val="19"/>
              </w:rPr>
              <w:t>名下学生签到签出统计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000000"/>
                <w:sz w:val="19"/>
              </w:rPr>
              <w:t>isDirector=true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000000"/>
                <w:sz w:val="19"/>
              </w:rPr>
              <w:t>全部人员签到签出统计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000000"/>
                <w:sz w:val="19"/>
              </w:rPr>
              <w:t>isLibrarian=true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000000"/>
                <w:sz w:val="19"/>
              </w:rPr>
              <w:t>图书维护、审核、归还、违规确认、借阅配置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000000"/>
                <w:sz w:val="19"/>
              </w:rPr>
              <w:t>role=admin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000000"/>
                <w:sz w:val="19"/>
              </w:rPr>
              <w:t>用户、门户内容、下载资料、备份与恢复</w:t>
            </w:r>
          </w:p>
        </w:tc>
      </w:tr>
    </w:tbl>
    <w:p>
      <w:pPr>
        <w:pStyle w:val="Heading2"/>
      </w:pPr>
      <w:r>
        <w:t>认证与文件处理</w:t>
      </w:r>
    </w:p>
    <w:p>
      <w:r>
        <w:t>每次进入受保护路由重新请求 /auth/me，不信任缓存的管理员标记。电话和出生日期等完整本人档案只留在内存；本地缓存仅含基础身份。401清除缓存并重新登录，403进入无权访问页，核验服务不可用时显示重试页。</w:t>
      </w:r>
    </w:p>
    <w:p>
      <w:r>
        <w:t>下载使用带 Bearer 凭据的二进制请求；从响应头读取中文文件名，通过临时 Blob 下载并释放 URL。文件错误响应重新解析为统一错误包。上传使用 FormData，不手工设置 multipart 边界。</w:t>
      </w:r>
    </w:p>
    <w:p>
      <w:pPr>
        <w:pStyle w:val="Heading2"/>
      </w:pPr>
      <w:r>
        <w:t>借阅契约修复</w:t>
      </w:r>
    </w:p>
    <w:p>
      <w:r>
        <w:t>不增加接口或数据库字段。/me/borrows 同时返回本人的待审、驳回申请与借出记录，已批准申请不重复展示。修正到期扫描起点为应还日期前3个工作日；默认30天借期过后未还即生成待确认候选，须图书管理教师沟通确认后才记入违规。同步更正帮助中的照片必检说明。</w:t>
      </w:r>
    </w:p>
    <w:p>
      <w:pPr>
        <w:pStyle w:val="Heading1"/>
      </w:pPr>
      <w:r>
        <w:t>3 用户操作步骤</w:t>
      </w:r>
    </w:p>
    <w:p>
      <w:pPr>
        <w:pStyle w:val="Heading2"/>
      </w:pPr>
      <w:r>
        <w:t>注册用户</w:t>
      </w:r>
    </w:p>
    <w:p>
      <w:r>
        <w:t>1. 使用管理员分配的账号登录。系统自动签到并进入工作概览；离开时点击“退出并签出”。网络失败时请重试，关闭网页不等于成功签出。</w:t>
      </w:r>
    </w:p>
    <w:p>
      <w:r>
        <w:t>2. 在“个人档案”修改英文姓名、生日、邮箱、电话或备注后保存。服务端字段错误显示在对应输入项旁。密码至少8字符，修改成功后重新登录。</w:t>
      </w:r>
    </w:p>
    <w:p>
      <w:r>
        <w:t>3. 在“照片在线检测”选择照片并检测。大小不得超过2MB，宽高比须为33:48，只有两项通过后才能保存。背景和着装建议不作为阻断条件。</w:t>
      </w:r>
    </w:p>
    <w:p>
      <w:r>
        <w:t>4. 在“图书目录”按编号、书名或作者查询，仅对“可借”图书提交申请。图书管理教师批准并登记借出后方可取书。申请状态及借出历史在“我的借阅与诚信”查看。</w:t>
      </w:r>
    </w:p>
    <w:p>
      <w:r>
        <w:t>5. 按应还时间线下归还，由图书管理教师登记。不提供续借；归还后5个自然日内不得再借。已确认违规超过3次即停借，诚信记录不清除。</w:t>
      </w:r>
    </w:p>
    <w:p>
      <w:r>
        <w:t>6. 在“站内提醒”查看到期与违规通知，可标记已读。在“下载专区”选择八类之一，检索标题并下载；在“用户帮助”阅读手册或查询索引。</w:t>
      </w:r>
    </w:p>
    <w:p>
      <w:pPr>
        <w:pStyle w:val="Heading2"/>
      </w:pPr>
      <w:r>
        <w:t>教师与系统管理员</w:t>
      </w:r>
    </w:p>
    <w:p>
      <w:r>
        <w:t>7. 全职教师进入“签到签出统计”查看名下学生，所长可选全员范围。图书管理教师在“图书管理”维护目录、审核请求、登记归还，沟通核实后确认违规；“借阅设置”可调整同时在借上限。</w:t>
      </w:r>
    </w:p>
    <w:p>
      <w:r>
        <w:t>8. 系统管理员在“用户管理”创建或修改教师、学生账号并授予身份标记。校外兼职无工号，须填聘书编号与聘期。停用使账号无法登录，历史记录保留。导入CSV或XLSX后逐行核对失败原因。</w:t>
      </w:r>
    </w:p>
    <w:p>
      <w:r>
        <w:t>9. 在“内容管理”选择栏目后新增、编辑或导入；图片、MP4与其他附件分别归类。下载资料通过独立管理页上传或替换。在“备份与恢复”核对备份计划；恢复须选择文件、勾选覆盖确认并通过第二次确认，成功后重新登录。</w:t>
      </w:r>
    </w:p>
    <w:p>
      <w:pPr>
        <w:pStyle w:val="Heading1"/>
      </w:pPr>
      <w:r>
        <w:t>4 验证结果与演示交接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5400"/>
        <w:gridCol w:w="2808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F3C6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FFFFFF"/>
                <w:sz w:val="19"/>
              </w:rPr>
              <w:t>验证项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F3C6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FFFFFF"/>
                <w:sz w:val="19"/>
              </w:rPr>
              <w:t>命令或环境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F3C6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FFFFFF"/>
                <w:sz w:val="19"/>
              </w:rPr>
              <w:t>本次结果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000000"/>
                <w:sz w:val="19"/>
              </w:rPr>
              <w:t>基础逻辑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000000"/>
                <w:sz w:val="19"/>
              </w:rPr>
              <w:t>frontend 下 npm test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000000"/>
                <w:sz w:val="19"/>
              </w:rPr>
              <w:t>5项通过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000000"/>
                <w:sz w:val="19"/>
              </w:rPr>
              <w:t>界面流程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000000"/>
                <w:sz w:val="19"/>
              </w:rPr>
              <w:t>Microsoft Edge 无头浏览器 受控HTTP夹具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000000"/>
                <w:sz w:val="19"/>
              </w:rPr>
              <w:t>17项通过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000000"/>
                <w:sz w:val="19"/>
              </w:rPr>
              <w:t>前端构建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000000"/>
                <w:sz w:val="19"/>
              </w:rPr>
              <w:t>frontend 下 npm run build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000000"/>
                <w:sz w:val="19"/>
              </w:rPr>
              <w:t>构建通过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000000"/>
                <w:sz w:val="19"/>
              </w:rPr>
              <w:t>后端回归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000000"/>
                <w:sz w:val="19"/>
              </w:rPr>
              <w:t>Java17 Maven H2 MockMvc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88" w:lineRule="auto"/>
            </w:pPr>
            <w:r>
              <w:rPr>
                <w:color w:val="000000"/>
                <w:sz w:val="19"/>
              </w:rPr>
              <w:t>48项通过，失败0，跳过0</w:t>
            </w:r>
          </w:p>
        </w:tc>
      </w:tr>
    </w:tbl>
    <w:p>
      <w:r>
        <w:t>界面流程覆盖未登录跳转、服务端权限核验、所长和教师统计、借阅申请与409冲突、只读诚信记录、八类资料鉴权下载、401与422、照片检测、导入失败行、内容扩展字段、归还与违规确认、恢复取消与确认、签出失败重试、帮助索引及390像素窄屏。后端新增回归验证申请状态和本人隔离、分页去重、工作日提醒窗口与刚逾期候选。</w:t>
      </w:r>
    </w:p>
    <w:p>
      <w:pPr>
        <w:pStyle w:val="Heading2"/>
      </w:pPr>
      <w:r>
        <w:t>复现与验收边界</w:t>
      </w:r>
    </w:p>
    <w:p>
      <w:r>
        <w:t>前端执行 npm ci 后运行 npm test、npm run test:e2e 和 npm run build。浏览器默认使用 Playwright Chromium；已安装Edge时设置 PLAYWRIGHT_CHANNEL=msedge。后端执行 mvn -f backend/pom.xml test。真实运行按 backend/README.md 配置MySQL与首次管理员密码。</w:t>
      </w:r>
    </w:p>
    <w:p>
      <w:r>
        <w:t>浏览器夹具与H2回归分别验证界面契约和真实后端逻辑，未将其宣称为MySQL部署联调、全部浏览器兼容测试、已上线状态或人工验收。Chrome、Firefox、Safari及最终部署环境需小组按测试文档补验。</w:t>
      </w:r>
    </w:p>
    <w:p>
      <w:pPr>
        <w:pStyle w:val="Heading2"/>
      </w:pPr>
      <w:r>
        <w:t>三角色演示顺序</w:t>
      </w:r>
    </w:p>
    <w:p>
      <w:r>
        <w:t>学生登录签到 → 查询可借图书并申请 → 图书管理教师批准并借出 → 学生查看借阅与提醒并下载资料 → 图书管理教师登记归还、展示违规确认及可配置上限 → 管理员展示用户导入行级结果、内容维护与备份 → 所长展示全员签到 → 退出签出。演示视频由组长汇总，未在本次自动录制或提交。</w:t>
      </w:r>
    </w:p>
    <w:sectPr w:rsidR="00FC693F" w:rsidRPr="0006063C" w:rsidSect="00034616"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2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