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后端核心设计与运行说明</w:t>
      </w:r>
    </w:p>
    <w:p>
      <w:r>
        <w:t>网络攻防对抗技术研究所管理系统</w:t>
      </w:r>
    </w:p>
    <w:p>
      <w:r>
        <w:t>SQA2  韦政治负责部分  2026年10月17日</w:t>
      </w:r>
    </w:p>
    <w:p>
      <w:r>
        <w:t>本文提供可并入系统设计说明书和用户手册的后端章节初稿，说明数据库、接口、权限、导入、部署和恢复。代码已完成后端核心实现；图书业务及完整姓名电话校验由陈彬接入。文档尚待陈彬统稿与组内评审，不代表全系统已验收。</w:t>
      </w:r>
    </w:p>
    <w:p>
      <w:pPr>
        <w:pStyle w:val="Heading1"/>
      </w:pPr>
      <w:r>
        <w:t>修订历史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353"/>
            <w:shd w:fill="E8EEF4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日期</w:t>
            </w:r>
          </w:p>
        </w:tc>
        <w:tc>
          <w:tcPr>
            <w:tcW w:type="dxa" w:w="2353"/>
            <w:shd w:fill="E8EEF4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版本</w:t>
            </w:r>
          </w:p>
        </w:tc>
        <w:tc>
          <w:tcPr>
            <w:tcW w:type="dxa" w:w="2353"/>
            <w:shd w:fill="E8EEF4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说明</w:t>
            </w:r>
          </w:p>
        </w:tc>
        <w:tc>
          <w:tcPr>
            <w:tcW w:type="dxa" w:w="2353"/>
            <w:shd w:fill="E8EEF4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编制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2026-10-17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V1.0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依据真实代码与独立数据库验证形成章节初稿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韦政治</w:t>
              <w:br/>
              <w:t>Codex辅助</w:t>
            </w:r>
          </w:p>
        </w:tc>
      </w:tr>
    </w:tbl>
    <w:p>
      <w:pPr>
        <w:pStyle w:val="Heading1"/>
      </w:pPr>
      <w:r>
        <w:t>依据与范围</w:t>
      </w:r>
    </w:p>
    <w:p>
      <w:r>
        <w:t>依据为业务需求框架V3.3.1、10月11日澄清口径、合同澄清修订版附件1验收指标及仓库接口规范。技术路线为Java 17、Spring Boot 3.5.7、MyBatis-Plus 3.5.12、MySQL 8；前端由其他成员实现。接口文档路径为docs/接口规范_SQA2_20261016.md。</w:t>
      </w:r>
    </w:p>
    <w:p>
      <w:r>
        <w:t>本部分覆盖认证与账号、用户管理、门户查询、内容维护、CSV/XLSX导入、签到统计、备份恢复。借阅申请审核、到期提醒、诚信违规、下载专区、在线帮助及完整业务校验仍由对应责任人实现，不使用成功占位接口。</w:t>
      </w:r>
    </w:p>
    <w:p>
      <w:pPr>
        <w:pStyle w:val="Heading1"/>
      </w:pPr>
      <w:r>
        <w:t>模块与调用关系</w:t>
      </w:r>
    </w:p>
    <w:p>
      <w:r>
        <w:t>请求经过认证拦截器，由控制器调用业务服务，再通过MyBatis账户映射或JdbcTemplate访问数据库。保存和导入统一调用ProfileValidator；公共响应使用Api封装，业务错误以ApiException转为一致的HTTP状态。媒体文件保存在服务端受控目录，数据库仅记录元数据。</w:t>
      </w:r>
    </w:p>
    <w:p>
      <w:r>
        <w:br w:type="page"/>
      </w:r>
    </w:p>
    <w:p>
      <w:pPr>
        <w:pStyle w:val="Heading1"/>
      </w:pPr>
      <w:r>
        <w:t>数据库设计</w:t>
      </w:r>
    </w:p>
    <w:p>
      <w:r>
        <w:t>数据库为独立MySQL 8实例中的专用库，字符集utf8mb4。schema.sql只创建缺失表，重启不清空数据。20张表中19张业务表进入逻辑备份，认证令牌会话不备份。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shd w:fill="E8EEF4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表或表组</w:t>
            </w:r>
          </w:p>
        </w:tc>
        <w:tc>
          <w:tcPr>
            <w:tcW w:type="dxa" w:w="4706"/>
            <w:shd w:fill="E8EEF4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关键字段与用途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users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用户名唯一；密码哈希；role；identity_type；所长和图书管理教师标记；active；profile_json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teachers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user_id唯一；employee_no唯一可空；teacher_type；聘书编号和聘期；原始来源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students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user_id、student_no唯一；状态、年级；导师姓名、工号与可空账号关联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books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code为7位；legacy_code保存B001；购买年份、作者、位置、归还时间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borrows / borrow_requests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人员、图书、请求；借出/应还/归还时间；申请审核状态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theses / patents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论文学号、作者和题目；专利申请号、状态；原始字段完整保留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projects / courses / textbooks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项目负责人；课程编码与任课教师；教材作者和ISBN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signin_logs / auth_sessions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签到签出及令牌摘要；会话到期；会话不进入备份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violations / notifications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违规待确认和确认信息；站内提醒、去重键及已读标记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library_config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默认在借上限2、借期30天、提前3个工作日提醒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portal_content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内容类型、栏目、标题正文、作者、发布时间、扩展字段和来源键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media_files / downloads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媒体存储名、大小、可见性；下载条目的文件引用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source_import_rows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原始JSON、类型、sheet、原始行号、导入状态及拒绝原因</w:t>
            </w:r>
          </w:p>
        </w:tc>
      </w:tr>
    </w:tbl>
    <w:p>
      <w:r>
        <w:t>教师/学生与用户采用一对一关联；借阅与用户/图书采用外键关联。导师允许不属于研究所：优先按用户ID，其次工号，仅均缺失时按姓名兜底。姓名重复时应由管理员补关联，不凭姓名断言身份。</w:t>
      </w:r>
    </w:p>
    <w:p>
      <w:r>
        <w:br w:type="page"/>
      </w:r>
    </w:p>
    <w:p>
      <w:pPr>
        <w:pStyle w:val="Heading1"/>
      </w:pPr>
      <w:r>
        <w:t>认证权限与隐私设计</w:t>
      </w:r>
    </w:p>
    <w:p>
      <w:r>
        <w:t>登录返回32字节安全随机令牌，服务端只保存SHA-256摘要，默认有效期12小时。密码使用BCrypt存储。首次启动必须配置初始管理员密码，无默认弱口令。登录自动签到，登出自动签出；改密、管理员重置密码及停用账号均使相关令牌失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shd w:fill="E8EEF4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角色或标记</w:t>
            </w:r>
          </w:p>
        </w:tc>
        <w:tc>
          <w:tcPr>
            <w:tcW w:type="dxa" w:w="4706"/>
            <w:shd w:fill="E8EEF4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允许范围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游客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门户查询与公开媒体；不能访问用户管理、备份或私有媒体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注册用户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本人资料和改密、照片；不能自行修改角色、身份编号或管理标记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系统管理员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用户与内容维护、导入、备份恢复；不会自动取得图书权限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isDirector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查看全部人员签到统计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全职教师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查看本人名下学生签到统计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isLibrarian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供图书模块校验，只有明确获得该标记的教师能操作图书域</w:t>
            </w:r>
          </w:p>
        </w:tc>
      </w:tr>
    </w:tbl>
    <w:p>
      <w:r>
        <w:t>公开教师/学生列表与详情由服务端白名单组装，可返回学号、姓名、邮箱和照片，省略手机、办公电话、生日、私人备注、密码与原始导入行；前端隐藏字段不能替代此策略。本人和管理员接口可查看授权范围内的完整档案。</w:t>
      </w:r>
    </w:p>
    <w:p>
      <w:r>
        <w:t>删除用户采用停用并保留历史，禁止移除最后一名有效管理员。以403拒绝普通用户自改isDirector、isLibrarian、role等字段，避免批量赋值提升权限。</w:t>
      </w:r>
    </w:p>
    <w:p>
      <w:pPr>
        <w:pStyle w:val="Heading1"/>
      </w:pPr>
      <w:r>
        <w:t>接口约定</w:t>
      </w:r>
    </w:p>
    <w:p>
      <w:r>
        <w:t>基础路径/api/v1。响应为code、message、data；成功HTTP200且code=0，错误状态与code一致。分页为items、total、page、page_size，每页最多200条。内容修改/删除使用/admin/content/{type}/{id}。机器可读文档/v3/api-docs；浏览入口/swagger-ui.html。</w:t>
      </w:r>
    </w:p>
    <w:p>
      <w:r>
        <w:t>正式接口字段、逐路由请求和响应示例见仓库接口规范v1.0实现基线。版本升为v1.0不等于全组已经确认冻结，仍需消费方核对。</w:t>
      </w:r>
    </w:p>
    <w:p>
      <w:r>
        <w:br w:type="page"/>
      </w:r>
    </w:p>
    <w:p>
      <w:pPr>
        <w:pStyle w:val="Heading1"/>
      </w:pPr>
      <w:r>
        <w:t>基础数据导入与异常隔离</w:t>
      </w:r>
    </w:p>
    <w:p>
      <w:r>
        <w:t>导入脚本backend/tools/import_baseline.py从课程文件夹读取九份原件，经管理员API写库，不复制老师材料到仓库。CSV使用UTF-8，XLSX读取缓存计算结果，不执行公式或外部链接。每行单独事务，失败行不拖垮整个文件；按sheet、行号和内容指纹实现重复导入跳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353"/>
            <w:shd w:fill="E8EEF4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类型</w:t>
            </w:r>
          </w:p>
        </w:tc>
        <w:tc>
          <w:tcPr>
            <w:tcW w:type="dxa" w:w="2353"/>
            <w:shd w:fill="E8EEF4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有效行</w:t>
            </w:r>
          </w:p>
        </w:tc>
        <w:tc>
          <w:tcPr>
            <w:tcW w:type="dxa" w:w="2353"/>
            <w:shd w:fill="E8EEF4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入库</w:t>
            </w:r>
          </w:p>
        </w:tc>
        <w:tc>
          <w:tcPr>
            <w:tcW w:type="dxa" w:w="2353"/>
            <w:shd w:fill="E8EEF4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隔离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教师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17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16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学生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956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313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643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图书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562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562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借阅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73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69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论文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855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837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专利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207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207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项目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102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102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授课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19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19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教材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15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15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合计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2806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2140</w:t>
            </w:r>
          </w:p>
        </w:tc>
        <w:tc>
          <w:tcPr>
            <w:tcW w:type="dxa" w:w="2353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666</w:t>
            </w:r>
          </w:p>
        </w:tc>
      </w:tr>
    </w:tbl>
    <w:p>
      <w:r>
        <w:t>以上来自本次独立MySQL测试实例及原件逐行统计。借阅工作表的最大行范围为280，但只有73条非空业务记录；AGENTS摘要“约279条”与源文件存在差异。</w:t>
      </w:r>
    </w:p>
    <w:p>
      <w:r>
        <w:t>隔离原因：一条教师工号为75202前缀；643条学生编号不满足当前规则，含34/22等前缀及历史8位学号；18条论文题目为空；4条借阅人无法唯一匹配。所有原始行均在来源表保留，不擅自修改编码口径或伪造人员。管理员可通过/admin/import/rows按状态查看。</w:t>
      </w:r>
    </w:p>
    <w:p>
      <w:r>
        <w:t>图书年份参数2026属于演示假设，B001转换为2026001并保留原编号。借阅无日期，仅生成已归还且datesSynthetic=true的历史演示记录；借出日期不得早于购买年份，不生成伪造在借或违规。缺失电话、生日、邮箱等字段保留缺失。</w:t>
      </w:r>
    </w:p>
    <w:p>
      <w:r>
        <w:t>旧网站原始导出文件尚未提供。当前提供UTF-8 CSV/XLSX内容导入接口，媒体先上传再写URL，不能将接口可用说成真实旧站迁移已经完成。</w:t>
      </w:r>
    </w:p>
    <w:p>
      <w:r>
        <w:br w:type="page"/>
      </w:r>
    </w:p>
    <w:p>
      <w:pPr>
        <w:pStyle w:val="Heading1"/>
      </w:pPr>
      <w:r>
        <w:t>部署备份与恢复</w:t>
      </w:r>
    </w:p>
    <w:p>
      <w:r>
        <w:t>准备JDK17以上、Maven3.9和MySQL8，创建专用库并配置DB_URL、DB_USERNAME、DB_PASSWORD与BOOTSTRAP_PASSWORD。仓库根执行mvn -f backend/pom.xml spring-boot:run。默认端口8080；前端默认跨域来源为localhost:5173和127.0.0.1:5173。生产应固定APP_STORAGE绝对目录。</w:t>
      </w:r>
    </w:p>
    <w:p>
      <w:r>
        <w:t>mvn -f backend/pom.xml test执行独立H2测试；package生成可运行jar。H2仅用于自动测试，不作为生产数据库。Java8环境必须先切换JAVA_HOME；本机验证用JDK21编译Java17目标，不更改系统默认JDK。</w:t>
      </w:r>
    </w:p>
    <w:p>
      <w:r>
        <w:t>每日北京时间02:00自动备份；管理员也可立即备份。JSON快照包含19张业务表、格式版本和媒体文件，服务端不执行上传SQL。备份含敏感数据与密码哈希，保存在被Git忽略的runtime目录；交付期不自动删除，由管理员人工归档。</w:t>
      </w:r>
    </w:p>
    <w:p>
      <w:r>
        <w:t>恢复必须上传快照并明确confirm=true，系统核对格式、版本、表和字段集合、有效管理员与媒体大小，并在恢复前另存当前快照。数据库恢复在单事务中执行，失败回滚；媒体使用新文件名避免覆盖当前文件。成功恢复使全部令牌失效，用户按备份中的密码重新登录。</w:t>
      </w:r>
    </w:p>
    <w:p>
      <w:r>
        <w:t>当前上传上限50MB。规模扩大后需评审调整或增加流式离线恢复工具；逻辑快照不包含MySQL服务器配置、数据库用户和权限。</w:t>
      </w:r>
    </w:p>
    <w:p>
      <w:pPr>
        <w:pStyle w:val="Heading1"/>
      </w:pPr>
      <w:r>
        <w:t>验证与实际限制</w:t>
      </w:r>
    </w:p>
    <w:p>
      <w:r>
        <w:t>自动测试覆盖登录失效、越权阻断、公开档案脱敏、导入行级事务、导师统计、内容CRUD、重复导入、备份失败回滚及私有媒体恢复。独立MySQL已验证实际建表、真实基础数据、重复导入及备份恢复，详细结果见后端验收记录。</w:t>
      </w:r>
    </w:p>
    <w:p>
      <w:r>
        <w:t>本地源码与文档不替代全组正式评审。完整姓名条例/电话语义引擎、图书业务、站内提醒等由陈彬接入；部署上线地址、旧站导出、数据异常兼容口径及接口消费方确认仍需协作完成。</w:t>
      </w:r>
    </w:p>
    <w:p>
      <w:r>
        <w:br w:type="page"/>
      </w:r>
    </w:p>
    <w:p>
      <w:pPr>
        <w:pStyle w:val="Heading1"/>
      </w:pPr>
      <w:r>
        <w:t>联调与文档移交</w:t>
      </w:r>
    </w:p>
    <w:p>
      <w:r>
        <w:t>组长及前端按接口规范v1.0实现基线核对，确认后才能记录冻结。本人维护schema变更；其他成员新增业务表时须同步备份清单与恢复测试。四份正式交付文档仍由陈彬统稿，本文件提供后端负责部分，不替代整套交付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shd w:fill="E8EEF4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接入项</w:t>
            </w:r>
          </w:p>
        </w:tc>
        <w:tc>
          <w:tcPr>
            <w:tcW w:type="dxa" w:w="4706"/>
            <w:shd w:fill="E8EEF4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责任与要求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ProfileValidator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陈彬实现完整校验引擎；保存和导入统一经过此接口。现有基础检查不能冒充姓名条例完整实现。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图书与提醒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陈彬实现library业务，使用Access.librarian，不以admin角色替代图书权限；违规超过3次即4次起停借。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下载文件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陈彬使用MediaService.savePrivate；公开门户附件才用save。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前端页面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三位前端成员按HTTP状态、字段白名单、分页和示例对接；公开接口不会提供敏感字段。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站点信息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组长提供英文名、LOGO、版权及部署地址，通过部署参数配置，不编造。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正式文档</w:t>
            </w:r>
          </w:p>
        </w:tc>
        <w:tc>
          <w:tcPr>
            <w:tcW w:type="dxa" w:w="4706"/>
          </w:tcPr>
          <w:p>
            <w:pPr>
              <w:spacing w:after="40" w:before="40" w:line="252" w:lineRule="auto"/>
            </w:pPr>
            <w:r>
              <w:rPr>
                <w:sz w:val="20"/>
              </w:rPr>
              <w:t>陈彬整合需求规格、系统设计、用户手册和测试文档，吸收本章节并组织评审。</w:t>
            </w:r>
          </w:p>
        </w:tc>
      </w:tr>
    </w:tbl>
    <w:p>
      <w:pPr>
        <w:pStyle w:val="Heading1"/>
      </w:pPr>
      <w:r>
        <w:t>待确认事项</w:t>
      </w:r>
    </w:p>
    <w:p>
      <w:r>
        <w:t>一是老师数据中非标准编号及历史学号的兼容方式，用户已确认暂无补充口径，保持规则并隔离，后续变更须另行确认；二是四条借阅人的唯一身份；三是18条缺失论文题目的补全来源；四是旧站数据导出和实际部署地址；五是前端和陈彬模块对接口与schema的确认。任何改动须按仓库协作规约留痕。</w:t>
      </w:r>
    </w:p>
    <w:p>
      <w:pPr>
        <w:pStyle w:val="Heading1"/>
      </w:pPr>
      <w:r>
        <w:t>AI与开源说明</w:t>
      </w:r>
    </w:p>
    <w:p>
      <w:r>
        <w:t>本后端和本章由Codex辅助起草、实现与测试，使用人按韦政治角色登记在docs/AI使用登记.md。自主审阅、组内统稿与评审结论应由成员据实补充，不代签批准。开源组件与许可证清单见docs/后端开源组件说明_SQA2.md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SQA2 后端章节初稿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