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民事答辩状</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答辩人：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被答辩人：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日，答辩人因收到</w:t>
      </w:r>
      <w:r>
        <w:rPr>
          <w:rFonts w:hint="eastAsia" w:ascii="宋体" w:hAnsi="宋体" w:eastAsia="宋体" w:cs="宋体"/>
          <w:sz w:val="24"/>
          <w:szCs w:val="24"/>
          <w:u w:val="single"/>
        </w:rPr>
        <w:t>        </w:t>
      </w:r>
      <w:r>
        <w:rPr>
          <w:rFonts w:hint="eastAsia" w:ascii="宋体" w:hAnsi="宋体" w:eastAsia="宋体" w:cs="宋体"/>
          <w:sz w:val="24"/>
          <w:szCs w:val="24"/>
        </w:rPr>
        <w:t>人民法院转来关于</w:t>
      </w:r>
      <w:r>
        <w:rPr>
          <w:rFonts w:hint="eastAsia" w:ascii="宋体" w:hAnsi="宋体" w:eastAsia="宋体" w:cs="宋体"/>
          <w:sz w:val="24"/>
          <w:szCs w:val="24"/>
          <w:u w:val="single"/>
        </w:rPr>
        <w:t>        </w:t>
      </w:r>
      <w:r>
        <w:rPr>
          <w:rFonts w:hint="eastAsia" w:ascii="宋体" w:hAnsi="宋体" w:eastAsia="宋体" w:cs="宋体"/>
          <w:sz w:val="24"/>
          <w:szCs w:val="24"/>
        </w:rPr>
        <w:t>与原告</w:t>
      </w:r>
      <w:r>
        <w:rPr>
          <w:rFonts w:hint="eastAsia" w:ascii="宋体" w:hAnsi="宋体" w:eastAsia="宋体" w:cs="宋体"/>
          <w:sz w:val="24"/>
          <w:szCs w:val="24"/>
          <w:u w:val="single"/>
        </w:rPr>
        <w:t>        </w:t>
      </w:r>
      <w:r>
        <w:rPr>
          <w:rFonts w:hint="eastAsia" w:ascii="宋体" w:hAnsi="宋体" w:eastAsia="宋体" w:cs="宋体"/>
          <w:sz w:val="24"/>
          <w:szCs w:val="24"/>
        </w:rPr>
        <w:t>因</w:t>
      </w:r>
      <w:r>
        <w:rPr>
          <w:rFonts w:hint="eastAsia" w:ascii="宋体" w:hAnsi="宋体" w:eastAsia="宋体" w:cs="宋体"/>
          <w:sz w:val="24"/>
          <w:szCs w:val="24"/>
          <w:u w:val="single"/>
        </w:rPr>
        <w:t>        </w:t>
      </w:r>
      <w:r>
        <w:rPr>
          <w:rFonts w:hint="eastAsia" w:ascii="宋体" w:hAnsi="宋体" w:eastAsia="宋体" w:cs="宋体"/>
          <w:sz w:val="24"/>
          <w:szCs w:val="24"/>
        </w:rPr>
        <w:t>纠纷一案，现依法提出如下答辩意见：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答辩事项：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答辩人请求人民法院依法驳回被答辩人不合理且不合法的诉讼请求。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事实和理由：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一、答辩人与原告、被告均不存在雇佣关系。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1.答辩人与原告</w:t>
      </w:r>
      <w:r>
        <w:rPr>
          <w:rFonts w:hint="eastAsia" w:ascii="宋体" w:hAnsi="宋体" w:eastAsia="宋体" w:cs="宋体"/>
          <w:sz w:val="24"/>
          <w:szCs w:val="24"/>
          <w:u w:val="single"/>
        </w:rPr>
        <w:t>        </w:t>
      </w:r>
      <w:r>
        <w:rPr>
          <w:rFonts w:hint="eastAsia" w:ascii="宋体" w:hAnsi="宋体" w:eastAsia="宋体" w:cs="宋体"/>
          <w:sz w:val="24"/>
          <w:szCs w:val="24"/>
        </w:rPr>
        <w:t>不存在雇佣关系。原告受雇于被告</w:t>
      </w:r>
      <w:r>
        <w:rPr>
          <w:rFonts w:hint="eastAsia" w:ascii="宋体" w:hAnsi="宋体" w:eastAsia="宋体" w:cs="宋体"/>
          <w:sz w:val="24"/>
          <w:szCs w:val="24"/>
          <w:u w:val="single"/>
        </w:rPr>
        <w:t>        </w:t>
      </w:r>
      <w:r>
        <w:rPr>
          <w:rFonts w:hint="eastAsia" w:ascii="宋体" w:hAnsi="宋体" w:eastAsia="宋体" w:cs="宋体"/>
          <w:sz w:val="24"/>
          <w:szCs w:val="24"/>
        </w:rPr>
        <w:t>而非答辩人，且其报酬由被告何剑支付，足见原告事实上系受雇于被告</w:t>
      </w:r>
      <w:r>
        <w:rPr>
          <w:rFonts w:hint="eastAsia" w:ascii="宋体" w:hAnsi="宋体" w:eastAsia="宋体" w:cs="宋体"/>
          <w:sz w:val="24"/>
          <w:szCs w:val="24"/>
          <w:u w:val="single"/>
        </w:rPr>
        <w:t>        </w:t>
      </w:r>
      <w:r>
        <w:rPr>
          <w:rFonts w:hint="eastAsia" w:ascii="宋体" w:hAnsi="宋体" w:eastAsia="宋体" w:cs="宋体"/>
          <w:sz w:val="24"/>
          <w:szCs w:val="24"/>
        </w:rPr>
        <w:t>，其与答辩人不存在雇佣关系。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2.答辩人与被告</w:t>
      </w:r>
      <w:r>
        <w:rPr>
          <w:rFonts w:hint="eastAsia" w:ascii="宋体" w:hAnsi="宋体" w:eastAsia="宋体" w:cs="宋体"/>
          <w:sz w:val="24"/>
          <w:szCs w:val="24"/>
          <w:u w:val="single"/>
        </w:rPr>
        <w:t>        </w:t>
      </w:r>
      <w:r>
        <w:rPr>
          <w:rFonts w:hint="eastAsia" w:ascii="宋体" w:hAnsi="宋体" w:eastAsia="宋体" w:cs="宋体"/>
          <w:sz w:val="24"/>
          <w:szCs w:val="24"/>
        </w:rPr>
        <w:t>系承揽合同关系，而非雇佣关系。《合同法》第二百五十一条规定，承揽合同是承揽人按照定做人的要求完成工作，交付工作成果，定做人给付报酬的合同。本案中，答辩人将搬运工地提升架的任务交由被告</w:t>
      </w:r>
      <w:r>
        <w:rPr>
          <w:rFonts w:hint="eastAsia" w:ascii="宋体" w:hAnsi="宋体" w:eastAsia="宋体" w:cs="宋体"/>
          <w:sz w:val="24"/>
          <w:szCs w:val="24"/>
          <w:u w:val="single"/>
        </w:rPr>
        <w:t>        </w:t>
      </w:r>
      <w:r>
        <w:rPr>
          <w:rFonts w:hint="eastAsia" w:ascii="宋体" w:hAnsi="宋体" w:eastAsia="宋体" w:cs="宋体"/>
          <w:sz w:val="24"/>
          <w:szCs w:val="24"/>
        </w:rPr>
        <w:t>承揽，并一次性支付其承揽报酬；且被告何剑为完成承揽任务，还雇请了原告为其提供劳务。由此可知答辩人与被告间为承揽合同关系。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二、原告以答辩人系发包人应对其损失承担连带赔偿责任无事实和法律依据。</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1.答辩人认为，作为搬运工地提升架的承揽人并不需要有相关资质，故原告依照《最高人民法院关于审理人身损害赔偿案件适用法律若干问题的解释》第十一条的规定向答辩人主张赔偿无事实依据。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2.此外，《最高人民法院关于审理人身损害赔偿案件适用法律若干问题的解释》第十一条中所述发包人应限于仅指《合同法》中建设工程合同关系或与建设工程合同类似的合同关系中的发包人。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建设工程事务中，若施工承包方无相关资质则劳动者遭受意外伤害的风险将剧增，故司法解释以保护劳动者权益为考量而有此规定。但若对发包人的定义进行任意扩张解释，将大多数普通、简单的承揽合同关系中的定做人都归类为发包人，则会不当的对定做人苛以重责，不符合社会经济生活实践，亦有违民法公平之原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故答辩人认为本案不应适用《最高人民法院关于审理人身损害赔偿案件适用法律若干问题的解释》第十一条第二款的相关规定。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三、除上述观点外，答辩人对于本案保留以下答辩意见：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1.对于本案损害结果的发生，答辩人即使存在过错，亦属轻微过失，不应承担连带赔偿责任，且应由作为雇主的被告</w:t>
      </w:r>
      <w:r>
        <w:rPr>
          <w:rFonts w:hint="eastAsia" w:ascii="宋体" w:hAnsi="宋体" w:eastAsia="宋体" w:cs="宋体"/>
          <w:sz w:val="24"/>
          <w:szCs w:val="24"/>
          <w:u w:val="single"/>
        </w:rPr>
        <w:t>                           </w:t>
      </w:r>
      <w:r>
        <w:rPr>
          <w:rFonts w:hint="eastAsia" w:ascii="宋体" w:hAnsi="宋体" w:eastAsia="宋体" w:cs="宋体"/>
          <w:sz w:val="24"/>
          <w:szCs w:val="24"/>
        </w:rPr>
        <w:t>及直接侵权人被告许美丽对原告的损失承担主要的赔偿责任。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2.关于赔偿数额，答辩人认为：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（1）误工费计算不符合客观事实，误工时间为</w:t>
      </w:r>
      <w:r>
        <w:rPr>
          <w:rFonts w:hint="eastAsia" w:ascii="宋体" w:hAnsi="宋体" w:eastAsia="宋体" w:cs="宋体"/>
          <w:sz w:val="24"/>
          <w:szCs w:val="24"/>
          <w:u w:val="single"/>
        </w:rPr>
        <w:t>    </w:t>
      </w:r>
      <w:r>
        <w:rPr>
          <w:rFonts w:hint="eastAsia" w:ascii="宋体" w:hAnsi="宋体" w:eastAsia="宋体" w:cs="宋体"/>
          <w:sz w:val="24"/>
          <w:szCs w:val="24"/>
        </w:rPr>
        <w:t>天，以农林牧渔业职工平均工资人民币</w:t>
      </w:r>
      <w:r>
        <w:rPr>
          <w:rFonts w:hint="eastAsia" w:ascii="宋体" w:hAnsi="宋体" w:eastAsia="宋体" w:cs="宋体"/>
          <w:sz w:val="24"/>
          <w:szCs w:val="24"/>
          <w:u w:val="single"/>
        </w:rPr>
        <w:t>    </w:t>
      </w:r>
      <w:r>
        <w:rPr>
          <w:rFonts w:hint="eastAsia" w:ascii="宋体" w:hAnsi="宋体" w:eastAsia="宋体" w:cs="宋体"/>
          <w:sz w:val="24"/>
          <w:szCs w:val="24"/>
        </w:rPr>
        <w:t>元/年计算为计算标准，误工费应为人民币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（2）护理费用不符合客观事实，护理期限为</w:t>
      </w:r>
      <w:r>
        <w:rPr>
          <w:rFonts w:hint="eastAsia" w:ascii="宋体" w:hAnsi="宋体" w:eastAsia="宋体" w:cs="宋体"/>
          <w:sz w:val="24"/>
          <w:szCs w:val="24"/>
          <w:u w:val="single"/>
        </w:rPr>
        <w:t>    </w:t>
      </w:r>
      <w:r>
        <w:rPr>
          <w:rFonts w:hint="eastAsia" w:ascii="宋体" w:hAnsi="宋体" w:eastAsia="宋体" w:cs="宋体"/>
          <w:sz w:val="24"/>
          <w:szCs w:val="24"/>
        </w:rPr>
        <w:t>天，以农林牧渔业职工平均工资人民币</w:t>
      </w:r>
      <w:r>
        <w:rPr>
          <w:rFonts w:hint="eastAsia" w:ascii="宋体" w:hAnsi="宋体" w:eastAsia="宋体" w:cs="宋体"/>
          <w:sz w:val="24"/>
          <w:szCs w:val="24"/>
          <w:u w:val="single"/>
        </w:rPr>
        <w:t>    </w:t>
      </w:r>
      <w:r>
        <w:rPr>
          <w:rFonts w:hint="eastAsia" w:ascii="宋体" w:hAnsi="宋体" w:eastAsia="宋体" w:cs="宋体"/>
          <w:sz w:val="24"/>
          <w:szCs w:val="24"/>
        </w:rPr>
        <w:t>元/年为计算标准，护理费应为人民币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（3）原告主张交通费的损失，但其提供的部份证据的真实性、与治疗之间的关联性均存在疑问，故答辩人对此不予认可。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（4）住院伙食补助费应为人民币</w:t>
      </w:r>
      <w:r>
        <w:rPr>
          <w:rFonts w:hint="eastAsia" w:ascii="宋体" w:hAnsi="宋体" w:eastAsia="宋体" w:cs="宋体"/>
          <w:sz w:val="24"/>
          <w:szCs w:val="24"/>
          <w:u w:val="single"/>
        </w:rPr>
        <w:t>    </w:t>
      </w:r>
      <w:r>
        <w:rPr>
          <w:rFonts w:hint="eastAsia" w:ascii="宋体" w:hAnsi="宋体" w:eastAsia="宋体" w:cs="宋体"/>
          <w:sz w:val="24"/>
          <w:szCs w:val="24"/>
        </w:rPr>
        <w:t>元/天，计算</w:t>
      </w:r>
      <w:r>
        <w:rPr>
          <w:rFonts w:hint="eastAsia" w:ascii="宋体" w:hAnsi="宋体" w:eastAsia="宋体" w:cs="宋体"/>
          <w:sz w:val="24"/>
          <w:szCs w:val="24"/>
          <w:u w:val="single"/>
        </w:rPr>
        <w:t>    </w:t>
      </w:r>
      <w:r>
        <w:rPr>
          <w:rFonts w:hint="eastAsia" w:ascii="宋体" w:hAnsi="宋体" w:eastAsia="宋体" w:cs="宋体"/>
          <w:sz w:val="24"/>
          <w:szCs w:val="24"/>
        </w:rPr>
        <w:t>天共人民币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（5）营养费数额偏高，应为人民币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（6）残疾赔偿金数额过高，原告为农村居民，故以农村居民人均纯收入人民币</w:t>
      </w:r>
      <w:r>
        <w:rPr>
          <w:rFonts w:hint="eastAsia" w:ascii="宋体" w:hAnsi="宋体" w:eastAsia="宋体" w:cs="宋体"/>
          <w:sz w:val="24"/>
          <w:szCs w:val="24"/>
          <w:u w:val="single"/>
        </w:rPr>
        <w:t>    </w:t>
      </w:r>
      <w:r>
        <w:rPr>
          <w:rFonts w:hint="eastAsia" w:ascii="宋体" w:hAnsi="宋体" w:eastAsia="宋体" w:cs="宋体"/>
          <w:sz w:val="24"/>
          <w:szCs w:val="24"/>
        </w:rPr>
        <w:t>元/年为计算标准，伤残九级十级，残疾赔偿金应为人民币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（7）精神损失抚慰金数额过高，可由法院依法裁决。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上，原告向答辩人主张损害赔偿无事实和法律依据依法应驳回其对答辩人的诉求。即使答辩人对损害的发生存在过错，亦属轻微过失；且主张的部分赔偿项目及金额欠缺理据，故恳请贵院酌情考量本人的答辩意见并依法作出裁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人民法院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答辩人：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附：答辩书副本</w:t>
      </w:r>
      <w:r>
        <w:rPr>
          <w:rFonts w:hint="eastAsia" w:ascii="宋体" w:hAnsi="宋体" w:eastAsia="宋体" w:cs="宋体"/>
          <w:sz w:val="24"/>
          <w:szCs w:val="24"/>
          <w:u w:val="single"/>
        </w:rPr>
        <w:t>    </w:t>
      </w:r>
      <w:r>
        <w:rPr>
          <w:rFonts w:hint="eastAsia" w:ascii="宋体" w:hAnsi="宋体" w:eastAsia="宋体" w:cs="宋体"/>
          <w:sz w:val="24"/>
          <w:szCs w:val="24"/>
        </w:rPr>
        <w:t>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证据材料</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A06AB4"/>
    <w:rsid w:val="004C4EEB"/>
    <w:rsid w:val="0087504A"/>
    <w:rsid w:val="015F3BFA"/>
    <w:rsid w:val="03A319DD"/>
    <w:rsid w:val="05BA361A"/>
    <w:rsid w:val="064D5587"/>
    <w:rsid w:val="0716192D"/>
    <w:rsid w:val="07B536B1"/>
    <w:rsid w:val="07E00A8B"/>
    <w:rsid w:val="07EC7280"/>
    <w:rsid w:val="08A545BC"/>
    <w:rsid w:val="0A460810"/>
    <w:rsid w:val="0B4A214C"/>
    <w:rsid w:val="0BAF5569"/>
    <w:rsid w:val="0BDC5C32"/>
    <w:rsid w:val="0BF535D0"/>
    <w:rsid w:val="0CC465C1"/>
    <w:rsid w:val="0D8F6E38"/>
    <w:rsid w:val="0DB12327"/>
    <w:rsid w:val="0EA04321"/>
    <w:rsid w:val="0F1D7B02"/>
    <w:rsid w:val="0F2A4D16"/>
    <w:rsid w:val="102D3127"/>
    <w:rsid w:val="10DD237C"/>
    <w:rsid w:val="11A06AB4"/>
    <w:rsid w:val="11B973CB"/>
    <w:rsid w:val="11CF5FF2"/>
    <w:rsid w:val="1237190D"/>
    <w:rsid w:val="125B3F4E"/>
    <w:rsid w:val="12C20617"/>
    <w:rsid w:val="132A486D"/>
    <w:rsid w:val="137F6B2D"/>
    <w:rsid w:val="147E0CAD"/>
    <w:rsid w:val="14DF6F3D"/>
    <w:rsid w:val="167A5BE7"/>
    <w:rsid w:val="1688527C"/>
    <w:rsid w:val="16C55493"/>
    <w:rsid w:val="17ED5EA2"/>
    <w:rsid w:val="18DF4915"/>
    <w:rsid w:val="18F14480"/>
    <w:rsid w:val="1A2C5DCF"/>
    <w:rsid w:val="1A615567"/>
    <w:rsid w:val="1A8504B6"/>
    <w:rsid w:val="1A9A6533"/>
    <w:rsid w:val="1B182848"/>
    <w:rsid w:val="1B7E153B"/>
    <w:rsid w:val="1BF4664C"/>
    <w:rsid w:val="1C3F07FC"/>
    <w:rsid w:val="1C454738"/>
    <w:rsid w:val="1CE72EAE"/>
    <w:rsid w:val="1D2A201B"/>
    <w:rsid w:val="1D3F29BC"/>
    <w:rsid w:val="1D58381C"/>
    <w:rsid w:val="1D7B6982"/>
    <w:rsid w:val="1EAE69DD"/>
    <w:rsid w:val="1EB0023A"/>
    <w:rsid w:val="1EC955D0"/>
    <w:rsid w:val="1EE426BE"/>
    <w:rsid w:val="1F122A69"/>
    <w:rsid w:val="1F147950"/>
    <w:rsid w:val="1FA00C04"/>
    <w:rsid w:val="1FD9384A"/>
    <w:rsid w:val="20927845"/>
    <w:rsid w:val="22541799"/>
    <w:rsid w:val="236C3EB3"/>
    <w:rsid w:val="2417788B"/>
    <w:rsid w:val="243A3F5C"/>
    <w:rsid w:val="246A4A46"/>
    <w:rsid w:val="24753991"/>
    <w:rsid w:val="254E0464"/>
    <w:rsid w:val="26353990"/>
    <w:rsid w:val="26A50557"/>
    <w:rsid w:val="26C51AF2"/>
    <w:rsid w:val="285B59E9"/>
    <w:rsid w:val="28E42C2B"/>
    <w:rsid w:val="29287846"/>
    <w:rsid w:val="2ADB722C"/>
    <w:rsid w:val="2BD01BA1"/>
    <w:rsid w:val="2C036BE2"/>
    <w:rsid w:val="2C561671"/>
    <w:rsid w:val="2C5B4A69"/>
    <w:rsid w:val="2C6304DA"/>
    <w:rsid w:val="2CE314A5"/>
    <w:rsid w:val="2D4B11AC"/>
    <w:rsid w:val="2D5B1445"/>
    <w:rsid w:val="2D6F4880"/>
    <w:rsid w:val="2EF45C73"/>
    <w:rsid w:val="2EFF26C1"/>
    <w:rsid w:val="2FE31FB9"/>
    <w:rsid w:val="31021172"/>
    <w:rsid w:val="316C7BFF"/>
    <w:rsid w:val="32DB66BA"/>
    <w:rsid w:val="3508531F"/>
    <w:rsid w:val="35504B85"/>
    <w:rsid w:val="35B85379"/>
    <w:rsid w:val="35E45572"/>
    <w:rsid w:val="3649145D"/>
    <w:rsid w:val="36657A8D"/>
    <w:rsid w:val="368B5657"/>
    <w:rsid w:val="36DD3C03"/>
    <w:rsid w:val="37A76D80"/>
    <w:rsid w:val="37EA728B"/>
    <w:rsid w:val="383441F3"/>
    <w:rsid w:val="39E67E20"/>
    <w:rsid w:val="3AD3003B"/>
    <w:rsid w:val="3C2320E3"/>
    <w:rsid w:val="3C4B4853"/>
    <w:rsid w:val="3C901D38"/>
    <w:rsid w:val="3DAE7A50"/>
    <w:rsid w:val="3E802916"/>
    <w:rsid w:val="3EF34536"/>
    <w:rsid w:val="412A04EE"/>
    <w:rsid w:val="415F56A1"/>
    <w:rsid w:val="44DD3A59"/>
    <w:rsid w:val="45740EC1"/>
    <w:rsid w:val="46D739E5"/>
    <w:rsid w:val="47091A51"/>
    <w:rsid w:val="47A07F87"/>
    <w:rsid w:val="490A3C2A"/>
    <w:rsid w:val="4BEB07FE"/>
    <w:rsid w:val="4F185B41"/>
    <w:rsid w:val="4F974AC3"/>
    <w:rsid w:val="50166245"/>
    <w:rsid w:val="50A42FA9"/>
    <w:rsid w:val="51CB332C"/>
    <w:rsid w:val="51DD3882"/>
    <w:rsid w:val="52054E68"/>
    <w:rsid w:val="52376372"/>
    <w:rsid w:val="53725DCB"/>
    <w:rsid w:val="53D91C0E"/>
    <w:rsid w:val="54240156"/>
    <w:rsid w:val="54B66DAD"/>
    <w:rsid w:val="5568103B"/>
    <w:rsid w:val="55861BC9"/>
    <w:rsid w:val="55957233"/>
    <w:rsid w:val="55BA2BF2"/>
    <w:rsid w:val="58487F51"/>
    <w:rsid w:val="59075C02"/>
    <w:rsid w:val="59544A75"/>
    <w:rsid w:val="59CA49A5"/>
    <w:rsid w:val="5A0271E8"/>
    <w:rsid w:val="5A944A25"/>
    <w:rsid w:val="5AF0702B"/>
    <w:rsid w:val="5BA8795C"/>
    <w:rsid w:val="5C696132"/>
    <w:rsid w:val="5C6C34CF"/>
    <w:rsid w:val="5D927A97"/>
    <w:rsid w:val="5D981F14"/>
    <w:rsid w:val="5F9B5F67"/>
    <w:rsid w:val="601472B0"/>
    <w:rsid w:val="635E6C08"/>
    <w:rsid w:val="63A9034E"/>
    <w:rsid w:val="63F62D1B"/>
    <w:rsid w:val="65C55664"/>
    <w:rsid w:val="6635372A"/>
    <w:rsid w:val="68075AB4"/>
    <w:rsid w:val="686629A5"/>
    <w:rsid w:val="6BFE7EED"/>
    <w:rsid w:val="6CF270C6"/>
    <w:rsid w:val="6FBF2A0C"/>
    <w:rsid w:val="71417CA5"/>
    <w:rsid w:val="715C19D1"/>
    <w:rsid w:val="727F7954"/>
    <w:rsid w:val="746E43A2"/>
    <w:rsid w:val="750030B7"/>
    <w:rsid w:val="75411E2F"/>
    <w:rsid w:val="76833301"/>
    <w:rsid w:val="770A3FB7"/>
    <w:rsid w:val="77426AE2"/>
    <w:rsid w:val="77EC386C"/>
    <w:rsid w:val="77FF68CB"/>
    <w:rsid w:val="78093506"/>
    <w:rsid w:val="785A2B01"/>
    <w:rsid w:val="78B46036"/>
    <w:rsid w:val="79FB1C99"/>
    <w:rsid w:val="7C747B15"/>
    <w:rsid w:val="7D453115"/>
    <w:rsid w:val="7D821BC5"/>
    <w:rsid w:val="7DE21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948</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2019-10-22T07:21:00Z</dcterms:created>
  <dc:creator>Administrator</dc:creator>
  <cp:lastModifiedBy>Administrator</cp:lastModifiedBy>
  <dcterms:modified xsi:type="dcterms:W3CDTF">2019-10-25T06:58:00Z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