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猎头</w:t>
      </w:r>
      <w:bookmarkStart w:id="0" w:name="_GoBack"/>
      <w:bookmarkEnd w:id="0"/>
      <w:r>
        <w:rPr>
          <w:rStyle w:val="8"/>
          <w:rFonts w:hint="eastAsia" w:ascii="宋体" w:hAnsi="宋体" w:eastAsia="宋体" w:cs="宋体"/>
          <w:b/>
          <w:sz w:val="32"/>
          <w:szCs w:val="32"/>
        </w:rPr>
        <w:t>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甲方（接受服务方）：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1.甲方因业务发展需要，现委托乙方就有关职位提供专业的猎头/委托招聘服务；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2.乙方为一家专业的猎头服务公司，同意接受甲方的前述委托。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现经双方友好协商，达成以下合同条款：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甲方委托乙方在本协议期间内推荐相关职位的候选人，具体职位要求由甲方根据其需求提供给乙方（见附件“职位需求登记表”)。乙方将与甲方密切沟通，针对该等职位，对具体猎头服务工作进行确定。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甲方未向乙方要求推荐相关职位候选人的前提下，乙方向甲方推荐候选人的，不属于本协议约定的服务。双方另有约定除外。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乙方须在得到甲方职位需求后十五个工作日内向甲方提供符合甲方需求的候选人及其简历、背景材料，至少包括下列材料：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候选人的简历，其中至少包括：准确工作经历（参加工作以的或至少最近五年以内）；教育经历（至少从大学起）；上一家单位离职情况/原因；是否受过刑事处罚及何种刑事处罚；外语、职业能力等资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（2）测评结果：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甲方在推荐期内雇佣乙方推荐的候选人的，应按本协议约定支付服务费用。在推荐期满后甲方雇佣乙方推荐的候选人的，无需支付服务费用。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推荐期定义：乙方提供候选人资料后的</w:t>
      </w:r>
      <w:r>
        <w:rPr>
          <w:rFonts w:hint="eastAsia" w:ascii="宋体" w:hAnsi="宋体" w:eastAsia="宋体" w:cs="宋体"/>
          <w:sz w:val="24"/>
          <w:szCs w:val="24"/>
          <w:u w:val="single"/>
        </w:rPr>
        <w:t>    </w:t>
      </w:r>
      <w:r>
        <w:rPr>
          <w:rFonts w:hint="eastAsia" w:ascii="宋体" w:hAnsi="宋体" w:eastAsia="宋体" w:cs="宋体"/>
          <w:sz w:val="24"/>
          <w:szCs w:val="24"/>
        </w:rPr>
        <w:t>个月内。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雇佣：指作为全职员工加入甲方，以正式入职时间为准。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甲方：本款中的甲方，包括甲方的控股子公司、与甲方同属一个集团的关联公司。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候选人</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乙方向甲方提供的推荐服务应保密进行，甲方在收到乙方推荐的候选人资料后不得转推荐给任何第三方（甲方下属公司除外）。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在收到符合要求的乙方推荐的候选人资料后，如发现该人及其资料与甲方自行或从其他渠道已获得的资料重合或相同时，甲方应在收到该候选人资料后的三个工作日内书面通知乙方，乙方对该候选人的推荐被视为无效，否则即视为乙方推荐的有效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未经甲方的事先书面同意，乙方同意不会为其自身利益或任何第三方利益雇佣甲方员工或以其他任何方式引诱甲方员工离职。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服务费用</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服务费用标准为：被雇佣的候选人的受雇首年年薪的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年薪包括：体现在雇佣/劳动合同上的壹拾贰个月的基本工资、第一年度的承诺奖金，签约即获的限制性股票奖励（分年授予的只核算第一年，折合现金计算）。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年薪不包括：补偿性质现金收入、报销性质的款项。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如果甲方正式雇佣了乙方就有关职位推荐的有效候选人，甲方将通知乙方并向乙方支付全额猎头服务费用。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首笔款项：服务费用的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首笔款项支付时间：甲方在该被正式雇佣的候选人正式入职后及收到乙方发票后的十日内向乙方支付。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第二笔款项：服务费用的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第二笔款项支付时间：考察期满及收到乙方发票后的十日内向乙方支付；考察期内候选人离职的（无论何种原因），无需再支付此笔款项。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考察期为：经乙方推荐的候选人入职甲方后的六个月。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考察期内离职处理：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考察期内由于候选人的原因离职的，甲方应于该候选人正式离职之日起五日内书面通知乙方，此时，甲方有权选择乙方为甲方无偿推荐替代候选人，或要求乙方退还已经支付的全额猎头服务费用。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候选人的原因离职系指：非甲方过错导致的离职，包括候选人辞职、试用期不符合录用条件、候选人过错被解除等。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如果乙方向甲方提供的候选人信息不实，则甲方有权不再支付猎头服务费用（已经支付的乙方应予退回），并要求乙方支付相当于约定服务费用的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候选人信息不实指：候选人的基本身份信息、工作经历信息、教育经历信息、原单位离职原因等方面不实，或在受过刑事处罚、存在竞业限制等方面原因未主动披露。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在本协议期间，因甲方需要进行异地面试的，且甲方事先同意报销差旅费用的，乙方应在候选人发生费用之前通知候选人，并向其告知甲方的费用标准和报销政策。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除前述第三条及本条约定的费用外，除非双方另有约定，甲方不承担任何其他费用。甲乙双方应自行承担因签署和履行本协议而各自发生的其他费用和税费。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履行本合同中可能被乙方或乙方人员知晓的关于甲方的业务信息、文件、资料、数据或者客户，包括但不限于本协议的存在及其条款，在本协议中都应被认为是甲方的商业秘密，未经甲方事先的书面同意，乙方不能使用，也不能在本协议履行期间或终止之后的任何时候对外传播或者泄漏给本协议以外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未经甲方事先书面同意，乙方不得以任何形式向本协议以外的第三方告知、宣传或暗示：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乙方于本协议项下所提供的服务及其内容；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乙方系甲方的供应商、服务提供者；也不得以任何形式使用甲方的标识、名称；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甲方同意在没有与乙方协商之前不独立对候选人进行背景调查。乙方应当提供候选人评估和背景调查所需信息。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本合同有效期为合同签订后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有效期定义：有效期内，乙方向甲方推荐甲方需要的候选人的，按本合同约定支付服务费用；超过有效期后，乙方向甲方推荐候选人的，无需支付服务费用，除非双方另有约定。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本协议的任何补充或修订需经双方以书面形式书就并签署方为有效。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本协议适用中国法律并按中国法律解释。甲乙双方同意，由本协议引起的或与本协议有关的任何争议应由双方友好协商解决。如果争议无法通过协商解决，双方同意将争议提交甲方所在地有管辖权的法院管辖。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本协议经双方授权代表签字或盖章生效。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本合同一式两份，甲乙双方各执一份，每份具有同等法律效力。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附件：职位需求登记表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（此处为填写示例，请根据实际需求填写。）</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2"/>
        <w:gridCol w:w="1496"/>
        <w:gridCol w:w="1838"/>
        <w:gridCol w:w="2538"/>
        <w:gridCol w:w="1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一、公司资料基本情况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全称</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衡州润嘉投资开发有限公司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网址</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衡州机场大道391号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企业性质</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房地产开发</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成立时间</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注册资金</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年销售额</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占地面积</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员工人数</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企业简介</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产品和服务概况</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二、工作联络人（招聘负责人及用人部门对接人）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办公固话</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张作</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人事负责人</w:t>
            </w:r>
          </w:p>
        </w:tc>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三、委托职位要求及条件（多岗位可直接复制此部分）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委托职位全称</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物业公司（运营公司）总经理</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需求人数</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直接汇报对象</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所辖人数</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基本月/年薪</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30-100W</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奖金情况</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五险一金</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缴纳比例</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食宿福利</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提供住宿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交通、通讯福利</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上班时间</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单休，周日休息</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工作详细地点</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衡州龙湾区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需求原因</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已进行招聘时长</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已使用的招聘渠道</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招聘中遇到的问题</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工作职责</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物业管理公司前期组建与规划、组织架构搭建、公司与团队建设；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贯彻公司董事长的指令，全面负责并统筹衡州国际机电城物业公司（专业市场）的管理服务工作，确保物业公司正常、良好运行，对公司及董事长直接负责。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制定物业各项规章制度、实施细则和操作程序提出修改意见；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全面对物业公司实施一体化综合管理，确保各项管理服务工作的质量；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负责制定物业公司发展战略，对物业公司形象、品牌等进行统一规划、宣传、监督、指导等；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负责各部门管理人员的招聘、选拔、培训、考核工作；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建立与政府主管部门的友好关系，协调本部门与总部及公司各部门的关系；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完成董事长赋予的其他任务或工作。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整个衡州国际机电城运营公司包括物业公司，招商策划运营公司等的管理。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10.后期电子商务平台的搭建，成立电子商务公司。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任职资格</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任职要求</w:t>
            </w:r>
          </w:p>
        </w:tc>
        <w:tc>
          <w:tcPr>
            <w:tcW w:w="630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50岁以下，具备中级以上专业技术职称或物业经理上岗证；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5年以上物业管理相关工作经验，3年以上大型专业市场物业管理工作经验；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具有丰富的企业管理经验，善于根据市场变化、客户需求，制定项目经营管理策略；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熟悉国家有关物业管理行业发展的各项政策，了解经济法、物权法、合同法等相关法律知识及税务、工商政策，全面掌握国内外物业管理发展态势及先进的物业管理模式，熟悉物业公司运作方式；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隐性要求</w:t>
            </w:r>
          </w:p>
        </w:tc>
        <w:tc>
          <w:tcPr>
            <w:tcW w:w="630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期望最佳来源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（同行公司名称或直接某个人）</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必须是全国一些大型专业五金机电市场的运营公司总经理或副总经理，比如成都万贯五金机电市场，贵州开明城，武汉和广州地区的机电市场等。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再其次全国专业的不锈钢或者五金机电市场运营公司总经理或副总经理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期望到职时间</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5月低</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“衡州润嘉投资开发有限公司”经衡州市工商局龙湾分局注册成立。公司注册资金：1.2亿元人民币。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衡州润嘉投资开发有限公司”，是由总部设在四川成都的“嘉园控股有限公司”“四川金安正泰高压电力设备有限公司”联合投资成立的股份制企业，公司现有工程、经济、财务、策划营销等各类专业技术人员30多人，公司的中、高层管理人员都是具有丰富的专业知识、工作经验和饱满工作精神的社会精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润嘉投资开发有限公司”是一家专注于商业地产开发和市场运营管理的投资公司。由“衡州润嘉投资开发有限公司”倾力打造的“衡州国际机电城”座落在衡州空港新区核心地带，紧靠衡州龙湾国际机场。“衡州空港新区”南临国家级的“衡州经济技术开发区滨海工业园区”，西接国家级“高新工业园区”，北挽省级瓯江口高端工业园区，正在崛起的瓯飞产业园区紧邻其边，多个工业园区成熊抱之势。“衡州国际机电城”项目一、二期投资超十二亿，规划用地230亩，建筑面积20多万平方米。作为在外温商回乡投资的重点项目、浙江省411重点工程、衡州市重大招商引资项目及省、市、区三级政府重点扶持工程，建成后将成为衡州首个集市场交易、产品展示、仓储物流、办公商务（电子商务）及配套服务等功能于一体的大型现代化五金机电专业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国际机电城”雄居龙湾国际机场出口，城市高端黄金口岸，接驳滨海大道、机场大道、瓯海大道、衡州大道、瓯江路及市域铁路S1线站点，座拥机场、城市快速路、甬台温高速复线、铁路、港口五大交通主线，拥有得天独厚的交通区位优势。作为衡州地区最大的五金机电产品集散地，产业创新型的大型商品交易中心，“衡州国际机电城”定位为国内、国际一流的专业市场。近期目标为浙南闽北商区的商客提供机电交易服务平台，中后期目标为华东、华南及国内、国际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国际机电城”采用国内、国际先进的设计理念，城内交通流畅，商业气息浓郁，电子商务、仓储物流、宾馆餐饮一应俱全。有清澈见底的景观河，有古色古香的游步桥，有恬静休闲的柳荫河廊。城外更有绿化景观公园、公共停车场、环保公厕等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未来“衡州国际机电城”项目的落地建成，在推进衡州五金机电产业转型升级的过程中发挥重大作用。它必将成为衡州市政府发展实体经济的典范事例、助力衡州企业转型升级的样板工程。它将成功改善五金机电经营商家的经营环境，提高商家的销售业绩和品牌效应，有效降低商家的流通和经营成本，庞大的客流将辐射整个浙南闽北地区乃至国内外，对提升整个衡州地区的五金机电产品产业效应及促进区域经济发展提速，必将起到巨大的推动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FFF7A1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2020-04-07T13:43:12Z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