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机械停车工程合同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项目机械车库工程供货及安装工程。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（1）机械停车设备生产加工、供货及安装，包深化设计、质量、安全、文明施工、工期、运费、安装、检验费、成品费、施工管理、大型机械一次或多次进、退场、货到工地负责堆放至指定地点。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审定的方案进行机械结构传动自控等施工图纸设计，按设计图纸及规范要求进行材料设备的制造、采购、运输、保管、现场组装、自检、初检合格后，乙方负责向政府行政主管部门报验，并取得设备可以投入使用的审批证件则视为本项目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（3）乙方无偿对甲方确定的5-7位操作人员进行现场操作与故障排除的专业培训、负责安装设备操作规程。停车尺寸规格，存取车安全警示等标志，并提供操作规程及说明书和注意事项等文件。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（4）向甲方提供设备、材料《出厂合格证》、《设备使用说明书》、《配件、易损件明细表》及随机备品、备件等有关资料。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（5）提供两次特种设备政府检测报告，一次为设备安装完毕后，另一次为免保期结束后。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（1）与其他专业施工界面：每组机械车位的3相380V电源由总包方施工至电源箱（含），电源箱以下的线路、套管由乙方施工；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（2）乙方须对工程的外围及现场其他施工单位提供配合（例如总包、监理单位、土建单位等）。所需要的费用已包含在合同总价内；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中所有需要与政府及相关配套部门（如建委主管部门、市政水、电、煤气、环卫、消防、交通、街道等）的沟通、协调以及费用承担均乙方负责，甲方仅给予配合。由于协调不适当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（1）若乙方承担的全部或部分工作内容未发生，甲方有权保留相关扣款的权利；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以上工程内容和承包范围的划分是暂定的，在合同期内甲方有权根据项目需要，随时调整上述工程范围或其内容，乙方不得有异议或因此拖延施工。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括但不限于设计、安装、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（4）承担本合同附件《阳光采购协议》的规定履行相关义务；接受甲方此方面的检查与考核评估。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1.遵循的标准及规范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（1）乙方所提供的机械停车设备，其全部技术性能必须达到中华人民共和国相关的制造与安装国家标准的要求，包括：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JGJ100-2015           汽车库建筑设计规范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JB/T8713-1998         机械式停车设备类别、型式与基本参数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JB/T8910-2013         升降横移机械式停车设备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GB50067-2014          汽车库、修车库、停车场设计防火规范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GB191-2008            包装储运图示标志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GB/T985-2008          气焊、手工电弧焊及气体保护焊焊缝坡口的基本形式与尺寸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GB/T986-1988          埋弧焊焊缝坡口的基本形式和尺寸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GB/T3768-1996         声学、声压法测定噪声源声功率级、反射面上方采用包络测量表面的简易法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GB/T3811-2008         起重机设计规范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GB4053.1-2009         固定式钢直梯安全技术条件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GB/T4942.2-2008       低压电气外壳防护等级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GB17907-2010          机械式停车设备通用安全要求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GB50168-2006          电气装置安装项目 电缆线路施工及验收规范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GB50169-2006          电气装置安装项目 接地装置施工及验收规范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GB50171-1992          电气装置安装项目 盘、柜及二次回路结线施工及验收规范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NB/T47013.1-13-2015   压力容器无损检测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（2）以及以上规范已颁发新版本的，按最新版本执行。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（3）严格按规范要求执行，但规范并未对一切细节作出规定，也未充分引述有关标准和规范的条文。因此除本条件另有规定外，乙方提供的设备均应符合要约邀请时已颁布的中国国家标准的有关条款。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2.基本参数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（1）设备种类：例如：</w:t>
      </w:r>
      <w:r>
        <w:rPr>
          <w:rFonts w:hint="eastAsia" w:ascii="宋体" w:hAnsi="宋体" w:eastAsia="宋体" w:cs="宋体"/>
          <w:sz w:val="24"/>
          <w:szCs w:val="24"/>
          <w:u w:val="single"/>
        </w:rPr>
        <w:t>    </w:t>
      </w:r>
      <w:r>
        <w:rPr>
          <w:rFonts w:hint="eastAsia" w:ascii="宋体" w:hAnsi="宋体" w:eastAsia="宋体" w:cs="宋体"/>
          <w:sz w:val="24"/>
          <w:szCs w:val="24"/>
        </w:rPr>
        <w:t>层升降横移式。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（2）收容车尺寸（长×宽×高）：</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（3）车辆限重：下层车抬板载重</w:t>
      </w:r>
      <w:r>
        <w:rPr>
          <w:rFonts w:hint="eastAsia" w:ascii="宋体" w:hAnsi="宋体" w:eastAsia="宋体" w:cs="宋体"/>
          <w:sz w:val="24"/>
          <w:szCs w:val="24"/>
          <w:u w:val="single"/>
        </w:rPr>
        <w:t>    </w:t>
      </w:r>
      <w:r>
        <w:rPr>
          <w:rFonts w:hint="eastAsia" w:ascii="宋体" w:hAnsi="宋体" w:eastAsia="宋体" w:cs="宋体"/>
          <w:sz w:val="24"/>
          <w:szCs w:val="24"/>
        </w:rPr>
        <w:t>T，上层车抬板载重</w:t>
      </w:r>
      <w:r>
        <w:rPr>
          <w:rFonts w:hint="eastAsia" w:ascii="宋体" w:hAnsi="宋体" w:eastAsia="宋体" w:cs="宋体"/>
          <w:sz w:val="24"/>
          <w:szCs w:val="24"/>
          <w:u w:val="single"/>
        </w:rPr>
        <w:t>    </w:t>
      </w:r>
      <w:r>
        <w:rPr>
          <w:rFonts w:hint="eastAsia" w:ascii="宋体" w:hAnsi="宋体" w:eastAsia="宋体" w:cs="宋体"/>
          <w:sz w:val="24"/>
          <w:szCs w:val="24"/>
        </w:rPr>
        <w:t>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（4）立体车库平面和剖面总图。参考提供的平面设计最佳车位数量和顺畅的车道，涉及最佳的运行程序和管理程序。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（5）平均存取车等候时间：＜</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（6）使用寿命：设备＞ </w:t>
      </w:r>
      <w:r>
        <w:rPr>
          <w:rFonts w:hint="eastAsia" w:ascii="宋体" w:hAnsi="宋体" w:eastAsia="宋体" w:cs="宋体"/>
          <w:sz w:val="24"/>
          <w:szCs w:val="24"/>
          <w:u w:val="single"/>
        </w:rPr>
        <w:t>    </w:t>
      </w:r>
      <w:r>
        <w:rPr>
          <w:rFonts w:hint="eastAsia" w:ascii="宋体" w:hAnsi="宋体" w:eastAsia="宋体" w:cs="宋体"/>
          <w:sz w:val="24"/>
          <w:szCs w:val="24"/>
        </w:rPr>
        <w:t>年，钢结构＞</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（7）车主存取车使用感应卡界面。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（8）车库管理系统与门禁管理系统是否一卡通用：</w:t>
      </w:r>
      <w:r>
        <w:rPr>
          <w:rFonts w:hint="eastAsia" w:ascii="宋体" w:hAnsi="宋体" w:eastAsia="宋体" w:cs="宋体"/>
          <w:sz w:val="24"/>
          <w:szCs w:val="24"/>
          <w:u w:val="single"/>
        </w:rPr>
        <w:t>    </w:t>
      </w:r>
      <w:r>
        <w:rPr>
          <w:rFonts w:hint="eastAsia" w:ascii="宋体" w:hAnsi="宋体" w:eastAsia="宋体" w:cs="宋体"/>
          <w:sz w:val="24"/>
          <w:szCs w:val="24"/>
        </w:rPr>
        <w:t>【①是；②不是】。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3.功能、配置要求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A：电力驱动的电力机与减速器。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B：必须具备防坠落安全装置。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C：车位底板采用装配式冷轧波形钢制底板，2.3mm厚网纹钢板，面板上应设阻车装置。不使用焊接式整体结构。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D：车位底板尺寸及荷载应能停放的中型轿车，上层车台板载重按1.8T考虑，下层车台板载重按2.0T考虑，不考虑停放超长、超重小汽车。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A：须有光电检测功能，必须保证存放轿车停车位置准确，超限报警并停止运行，运行中如轿车滑动，立即停止运行并报警。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B：具有防止链条断裂时砸车的功能。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C：具有报警功能（报警灯或蜂鸣器等）。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D：具有齐全的安全保护功能。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E：采用刷卡取车，一轿车一个编码卡，采用ID卡。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（3）结构上要求：要求框架结构，（不用悬臂结构）。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A：结构构件材料和连接材料及其允许应力、强度、稳定性及静动荷载、冲击荷载的设计计算满足有关规定提供附计算数据。钢结构设计合理，安全可靠，不变形不弯曲。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B：车库结构安装和对土建有破坏影响的必须自行与设计单位沟通，并得到甲方设计单位的签认。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C：提供与土建连接的地脚螺栓或连接螺栓的设计方案，且须经甲方设计单位签认。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D：载车板拼装严密，不滴漏，采用镀锌波纹板，δ≥ 2.3 mm。边梁采用镀锌板，δ≥ 3.5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A：提供立体车库供电容量、指标等要求，控制器及电源等设计须满足该系统正常使用要求，具有较高的抗干扰能力及稳压特性。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动控制系统必须做到：配置程序控制器，检测装置灵敏度高、能力强、动作准确可靠、反馈及时、元器件经济耐用，技术先进、抗干扰能力强、维护简便，过载及短路等保护齐全。采用可编程控制器PLC主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C：电气设备的安装应符合GB50168、GB50169和GB50171的要求。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D：停车设备的金属结构及所有电气设备的金属外壳、管槽、电缆金属护层和变压器低压侧均应有可靠接触地。检测时应保护接地良好。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E：所有仪表、按钮、操作开关的用途应标明在盘（屏、柜、台）的正面，装设在内部的元件应标明代号。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F：所有电气设备必须可靠固定，声光信号装置必须可靠。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G：设备适用于三相五线制。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H：电动机、电控柜、操作箱所有外壳防护等级应不低于</w:t>
      </w:r>
      <w:r>
        <w:rPr>
          <w:rFonts w:hint="eastAsia" w:ascii="宋体" w:hAnsi="宋体" w:eastAsia="宋体" w:cs="宋体"/>
          <w:sz w:val="24"/>
          <w:szCs w:val="24"/>
          <w:u w:val="single"/>
        </w:rPr>
        <w:t>    </w:t>
      </w:r>
      <w:r>
        <w:rPr>
          <w:rFonts w:hint="eastAsia" w:ascii="宋体" w:hAnsi="宋体" w:eastAsia="宋体" w:cs="宋体"/>
          <w:sz w:val="24"/>
          <w:szCs w:val="24"/>
        </w:rPr>
        <w:t>。电控柜、操作箱密封防鼠害，根据需要配置强制通风。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I：电路必须配有分电路和主电路的短路保护、过流保护、欠压保护、缺相保护、零压保护等保护电路。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J：提供整体设计的电气原理图和电气接线图，每个电控柜必须提供电控柜的原理图和接线图。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（5）焊接要求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A：焊条、焊丝和焊剂应与被焊接件的材料相适应。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B：焊缝应符合GB/T985和GB/T986的规定。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C：主要承受力构件，如立柱、横梁等构件的对接焊缝应进行无损探伤。射线探伤时，应不低于GB/T3323-2005中规定的Ⅱ级；超声波探伤时，应不低于JB4730-2005中规定的Ⅰ级。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D：立柱横梁等构件，焊接前进行校直校平。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（6）安全、卫生要求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升降横移式停车设备的安全要求、防护装置要求应符合GB17907-2010的规定，应设紧急停止开关、防止超载运行装置，汽车长、高限制装置，阻车装置，人车误入检出装置，车位底板上汽车位置的监测装置，防止上位车位底板坠落装置以及警示装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（7）升降用链条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A：选择升降用链条应符合相关的规定。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链条的安全系数准无人方式应不小于7。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C：为降低链条与卷筒或滑轮间的摩擦磨损，应定期涂抹润滑剂保护。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D：轿车存取出入口及本体构造。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E：升降横移式停车设备的轿车存取出入口的高度一般应不小于1800㎜。设计必须保证驾驶员安全上下车。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F：轿车停车空间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宽度：车位上限制汽车进出的最小空间宽度应不小于存放汽车的全宽加</w:t>
      </w:r>
      <w:r>
        <w:rPr>
          <w:rFonts w:hint="eastAsia" w:ascii="宋体" w:hAnsi="宋体" w:eastAsia="宋体" w:cs="宋体"/>
          <w:sz w:val="24"/>
          <w:szCs w:val="24"/>
          <w:u w:val="single"/>
        </w:rPr>
        <w:t>    </w:t>
      </w:r>
      <w:r>
        <w:rPr>
          <w:rFonts w:hint="eastAsia" w:ascii="宋体" w:hAnsi="宋体" w:eastAsia="宋体" w:cs="宋体"/>
          <w:sz w:val="24"/>
          <w:szCs w:val="24"/>
        </w:rPr>
        <w:t>㎜。也应同样考虑驾驶员安全上下车及方便上下车。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高度：不小于存放汽车的车高</w:t>
      </w:r>
      <w:r>
        <w:rPr>
          <w:rFonts w:hint="eastAsia" w:ascii="宋体" w:hAnsi="宋体" w:eastAsia="宋体" w:cs="宋体"/>
          <w:sz w:val="24"/>
          <w:szCs w:val="24"/>
          <w:u w:val="single"/>
        </w:rPr>
        <w:t>    </w:t>
      </w:r>
      <w:r>
        <w:rPr>
          <w:rFonts w:hint="eastAsia" w:ascii="宋体" w:hAnsi="宋体" w:eastAsia="宋体" w:cs="宋体"/>
          <w:sz w:val="24"/>
          <w:szCs w:val="24"/>
        </w:rPr>
        <w:t>㎜，且不小于</w:t>
      </w:r>
      <w:r>
        <w:rPr>
          <w:rFonts w:hint="eastAsia" w:ascii="宋体" w:hAnsi="宋体" w:eastAsia="宋体" w:cs="宋体"/>
          <w:sz w:val="24"/>
          <w:szCs w:val="24"/>
          <w:u w:val="single"/>
        </w:rPr>
        <w:t>    </w:t>
      </w:r>
      <w:r>
        <w:rPr>
          <w:rFonts w:hint="eastAsia" w:ascii="宋体" w:hAnsi="宋体" w:eastAsia="宋体" w:cs="宋体"/>
          <w:sz w:val="24"/>
          <w:szCs w:val="24"/>
        </w:rPr>
        <w:t>㎜；若有微升微降动作，应予以考虑。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G：升降横移式停车设备的操作装置应设置在人及汽车的出入状况可用目视清楚地观察嘹望的位置。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层升降横移式停车设备正常工作条件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A：工作环境将不超过+40℃，在24h内的平均温度不超过+35℃。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B：工作环境温度不低于-10℃。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C：在+40℃的温度下相对湿度不超过+35℃。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D：供电电网进线电源为三相交流，频率为50hz，电压为380v。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表面做防腐除锈处理，饰面喷涂工程用漆（若乙方采用其它防腐处理工艺，须详尽说明其采用的处理措施，且优于招标文件要求）；表面颜色：橘黄色，表面处理：喷漆，每组钢拄在离地面0.5—1.0米之间设置防撞橡胶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对总承包商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市特种设备检测中心检测合格。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