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Style w:val="8"/>
          <w:rFonts w:hint="eastAsia" w:ascii="宋体" w:hAnsi="宋体" w:eastAsia="宋体" w:cs="宋体"/>
          <w:b/>
          <w:sz w:val="32"/>
          <w:szCs w:val="32"/>
        </w:rPr>
        <w:t>铜门采购及安装合同</w:t>
      </w:r>
      <w:r>
        <w:rPr>
          <w:rFonts w:hint="eastAsia" w:ascii="宋体" w:hAnsi="宋体" w:eastAsia="宋体" w:cs="宋体"/>
          <w:b/>
          <w:sz w:val="32"/>
          <w:szCs w:val="32"/>
        </w:rPr>
        <w:t> 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根据《中华人民共和国合同法》，双方本着友好协商、平等互利、等价有偿的原则，经双方充分协商，就乙方制作与安装甲方特订立如下合同条款以供双方共同遵守。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工程名称：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工程地址：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一、工程内容及承包方式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1.承包内容：大门、雨篷及安装所需辅材。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2.承包方式：乙方以包工、包料、包制作、包运输、包安装、包辅材等承包该工程。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3.材料（产品）名称、尺寸、数量、单价、金额：</w:t>
      </w:r>
    </w:p>
    <w:tbl>
      <w:tblPr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7"/>
        <w:gridCol w:w="1548"/>
        <w:gridCol w:w="835"/>
        <w:gridCol w:w="1153"/>
        <w:gridCol w:w="1002"/>
        <w:gridCol w:w="1427"/>
        <w:gridCol w:w="15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产品名称</w:t>
            </w:r>
          </w:p>
        </w:tc>
        <w:tc>
          <w:tcPr>
            <w:tcW w:w="15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门洞尺寸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单位</w:t>
            </w:r>
          </w:p>
        </w:tc>
        <w:tc>
          <w:tcPr>
            <w:tcW w:w="11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数量</w:t>
            </w:r>
          </w:p>
        </w:tc>
        <w:tc>
          <w:tcPr>
            <w:tcW w:w="10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单价</w:t>
            </w:r>
          </w:p>
        </w:tc>
        <w:tc>
          <w:tcPr>
            <w:tcW w:w="14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金额 （元）</w:t>
            </w:r>
          </w:p>
        </w:tc>
        <w:tc>
          <w:tcPr>
            <w:tcW w:w="15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弧形铜门</w:t>
            </w:r>
          </w:p>
        </w:tc>
        <w:tc>
          <w:tcPr>
            <w:tcW w:w="15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平方</w:t>
            </w:r>
          </w:p>
        </w:tc>
        <w:tc>
          <w:tcPr>
            <w:tcW w:w="11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5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弧形雨棚</w:t>
            </w:r>
          </w:p>
        </w:tc>
        <w:tc>
          <w:tcPr>
            <w:tcW w:w="15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平方</w:t>
            </w:r>
          </w:p>
        </w:tc>
        <w:tc>
          <w:tcPr>
            <w:tcW w:w="11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5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闭门器</w:t>
            </w:r>
          </w:p>
        </w:tc>
        <w:tc>
          <w:tcPr>
            <w:tcW w:w="15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套</w:t>
            </w:r>
          </w:p>
        </w:tc>
        <w:tc>
          <w:tcPr>
            <w:tcW w:w="11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5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磁力锁</w:t>
            </w:r>
          </w:p>
        </w:tc>
        <w:tc>
          <w:tcPr>
            <w:tcW w:w="15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套</w:t>
            </w:r>
          </w:p>
        </w:tc>
        <w:tc>
          <w:tcPr>
            <w:tcW w:w="11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5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合计</w:t>
            </w:r>
          </w:p>
        </w:tc>
        <w:tc>
          <w:tcPr>
            <w:tcW w:w="15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元</w:t>
            </w:r>
          </w:p>
        </w:tc>
        <w:tc>
          <w:tcPr>
            <w:tcW w:w="11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5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00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注：最终按时结算，合同总价包含承包方式内的全部内容。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二、技术要求及质量标准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1.弧形铜门、雨棚材质要求：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（1）主材：1.0mm厚铜板，1.0mm厚镀锌钢板，40*100*1.5、40*60*1.5、40*40*1.2、40*20*1.0镀锌方管，1.2撑，10mm厚钢化玻璃。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（2）辅材：钢制镀铜铰链，不锈钢插销、闭门器（多麦克斯）、磁力锁（宏泰）。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（3）油漆：氟碳清漆。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2.质量标准：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（1）铜门制作和安装应严格按照工艺要求进行制作，竣工验收以甲方认可的铜门的外形、安装尺寸等相关内容进行验收。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（2）铜板表面无明显颗粒、划痕，丝纹顺直、色泽均匀。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三、交货日期及方式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日前安装完毕。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2.如因甲方自身原因导致的工期延误，由甲方承担责任。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3.如因乙方原因导致产品交货延期，则乙方应向甲方每日支付总造价1%违约赔偿金。超过10个工作日支付人民币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元违约金。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四、付款方式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1.货到现场，并安装完成，经甲方验收合格后支付至合同总价的90%。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2.10%余款验收合格后一年一次性付清。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3.乙方需提供相关部门认可的全额发票。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五、甲方的责任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1.甲方在工程现场为乙方无偿提供一个工具间，供乙方临时存放重要设备及安装工器具。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2.甲方应指定专人负责协调乙方工程人员与其他单位的协作关系，并按要求做好施工前的各项准备工作，由甲方免费提供乙方安装所需的电源。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3.甲方负责保管电机等物品。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六、乙方的责任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1.乙方严格按国家相关规范生产及安装铜门，保证制作和安装质量。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2.乙方在安装中要做好施工全过程的成品、半成品的保护工作，以免使甲方造成损失，并要及时与甲方协调好各方面关系。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3.乙方指派代表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为本合同执行人，其签字具有法律效力。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七、保修服务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1.本工程保修期为产品安装完成并验收合格后的一年。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2.乙方承诺：乙方对所售产品一年内免费维护。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3.保修期过后乙方对所售产品实行终身有偿维护。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八、其他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1.报价单及制作图纸作为本合同附件，与本合同起同等法律效用。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两 </w:t>
      </w:r>
      <w:r>
        <w:rPr>
          <w:rFonts w:hint="eastAsia" w:ascii="宋体" w:hAnsi="宋体" w:eastAsia="宋体" w:cs="宋体"/>
          <w:sz w:val="24"/>
          <w:szCs w:val="24"/>
        </w:rPr>
        <w:t>份，各方各执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一 </w:t>
      </w:r>
      <w:r>
        <w:rPr>
          <w:rFonts w:hint="eastAsia" w:ascii="宋体" w:hAnsi="宋体" w:eastAsia="宋体" w:cs="宋体"/>
          <w:sz w:val="24"/>
          <w:szCs w:val="24"/>
        </w:rPr>
        <w:t>份，具有同等法律效力。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3.本合同自双方签订之日起生效，履行完成后自动终止。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B45E9"/>
    <w:rsid w:val="04222B3C"/>
    <w:rsid w:val="0470219C"/>
    <w:rsid w:val="05C93073"/>
    <w:rsid w:val="066038E2"/>
    <w:rsid w:val="096353A1"/>
    <w:rsid w:val="099F17A6"/>
    <w:rsid w:val="0D8072E0"/>
    <w:rsid w:val="10BC3690"/>
    <w:rsid w:val="10CC72F4"/>
    <w:rsid w:val="112D17A4"/>
    <w:rsid w:val="13B847E2"/>
    <w:rsid w:val="162C5A0B"/>
    <w:rsid w:val="172A203E"/>
    <w:rsid w:val="1999478A"/>
    <w:rsid w:val="1C80404A"/>
    <w:rsid w:val="1DAD2F12"/>
    <w:rsid w:val="20A97CFD"/>
    <w:rsid w:val="2244341E"/>
    <w:rsid w:val="22B64991"/>
    <w:rsid w:val="234D0637"/>
    <w:rsid w:val="267F3995"/>
    <w:rsid w:val="26CB112C"/>
    <w:rsid w:val="271117FA"/>
    <w:rsid w:val="284B18B0"/>
    <w:rsid w:val="2BE27A4C"/>
    <w:rsid w:val="2CCE6B70"/>
    <w:rsid w:val="2DFC35A8"/>
    <w:rsid w:val="30B55BF3"/>
    <w:rsid w:val="338312C9"/>
    <w:rsid w:val="33DB529D"/>
    <w:rsid w:val="38673D0A"/>
    <w:rsid w:val="3AB26F91"/>
    <w:rsid w:val="3CF12D55"/>
    <w:rsid w:val="3EB63146"/>
    <w:rsid w:val="404868A7"/>
    <w:rsid w:val="41200CA2"/>
    <w:rsid w:val="41917083"/>
    <w:rsid w:val="4B943597"/>
    <w:rsid w:val="4C0D1F5F"/>
    <w:rsid w:val="4CFD106A"/>
    <w:rsid w:val="4D8D0BA4"/>
    <w:rsid w:val="50383733"/>
    <w:rsid w:val="50DA215D"/>
    <w:rsid w:val="51153B1A"/>
    <w:rsid w:val="52B8793B"/>
    <w:rsid w:val="564D393B"/>
    <w:rsid w:val="5D7A58C1"/>
    <w:rsid w:val="5E5F7152"/>
    <w:rsid w:val="62D46B79"/>
    <w:rsid w:val="63673486"/>
    <w:rsid w:val="63B91BA8"/>
    <w:rsid w:val="667913A2"/>
    <w:rsid w:val="6DB51EC1"/>
    <w:rsid w:val="6EB75A01"/>
    <w:rsid w:val="711B26BD"/>
    <w:rsid w:val="76C81B0F"/>
    <w:rsid w:val="76E80285"/>
    <w:rsid w:val="786B45E9"/>
    <w:rsid w:val="79B556D0"/>
    <w:rsid w:val="79DA7971"/>
    <w:rsid w:val="7D5C22DC"/>
    <w:rsid w:val="7DF8034B"/>
    <w:rsid w:val="7E5F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2019-07-15T10:35:00Z</dcterms:created>
  <dc:creator>Administrator</dc:creator>
  <cp:lastModifiedBy>Administrator</cp:lastModifiedBy>
  <dcterms:modified xsi:type="dcterms:W3CDTF">2019-07-16T10:36:47Z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