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 景观及室外管网工程施工合同项目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协议专用条款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33"/>
        <w:gridCol w:w="4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发包方（以下简称甲方）</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签订日期：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签订地点：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根据《中华人民共和国合同法》、《中华人民共和国建筑法》和相关法律法规的规定，结合本工程的具体情况，经双方友好协商，签订本合同，以资双方共同遵守。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总景观面积：约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范围内的景观基础、景观面层、围墙、道路、景观给排水、景观电气、室外给水管网、室外雨污水等施工图纸中的所有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承包方式：包工、包辅材 （甲供材除外，详《甲供材料清单》）、包机械、包质量、包工期、包文明施工、包验收、包施工安全、包成品保护及材料损耗控制及为完成本工程并达到验收合格条件所发生的一切费用。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工程造价、结算单价与结算原则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合同不含税暂定总价为人民币（大写）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综合单价详附件《景观及室外管网工程造价汇总表及各分部工程计价表》，综合单价包含但不限于人工、材料（甲供材除外详附件《甲供材料清单》、机械、模板、脚手架、措施费、临时设施、二次搬运、采保费、工程保洁费、安全文明施工费、管理费、利润、风险包干费、各种政策性文件规定的其它费用等。合同单价不以任何理由变更、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（2）合同综合单价不含：施工水电费、税金。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（3）零星用工：普工人民币</w:t>
      </w:r>
      <w:r>
        <w:rPr>
          <w:rFonts w:hint="eastAsia" w:ascii="宋体" w:hAnsi="宋体" w:eastAsia="宋体" w:cs="宋体"/>
          <w:sz w:val="24"/>
          <w:szCs w:val="24"/>
          <w:u w:val="single"/>
        </w:rPr>
        <w:t>    </w:t>
      </w:r>
      <w:r>
        <w:rPr>
          <w:rFonts w:hint="eastAsia" w:ascii="宋体" w:hAnsi="宋体" w:eastAsia="宋体" w:cs="宋体"/>
          <w:sz w:val="24"/>
          <w:szCs w:val="24"/>
        </w:rPr>
        <w:t>元/工日，技工人民币</w:t>
      </w:r>
      <w:r>
        <w:rPr>
          <w:rFonts w:hint="eastAsia" w:ascii="宋体" w:hAnsi="宋体" w:eastAsia="宋体" w:cs="宋体"/>
          <w:sz w:val="24"/>
          <w:szCs w:val="24"/>
          <w:u w:val="single"/>
        </w:rPr>
        <w:t>    </w:t>
      </w:r>
      <w:r>
        <w:rPr>
          <w:rFonts w:hint="eastAsia" w:ascii="宋体" w:hAnsi="宋体" w:eastAsia="宋体" w:cs="宋体"/>
          <w:sz w:val="24"/>
          <w:szCs w:val="24"/>
        </w:rPr>
        <w:t>元/工日，结算时按实结算，工程量按甲方、乙方共同核定签认的数量为准。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合同外增加项目或变更承包范围时计价方式如下：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（1）如合同中有相同类型的子目，按同类子目单价计价。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（2）如合同中有类似子目，参照类似子目单价定价。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（3）如合同中无同类子目，参照市场行情由双方另行协商。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生活水电费由乙方承担，具体费用由项目部根据现场实际费用进行分摊。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甲供材结算办法：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（1）乙方应合理使用甲供材料，不得浪费。甲供材料损耗率按</w:t>
      </w:r>
      <w:r>
        <w:rPr>
          <w:rFonts w:hint="eastAsia" w:ascii="宋体" w:hAnsi="宋体" w:eastAsia="宋体" w:cs="宋体"/>
          <w:sz w:val="24"/>
          <w:szCs w:val="24"/>
          <w:u w:val="single"/>
        </w:rPr>
        <w:t>        </w:t>
      </w:r>
      <w:r>
        <w:rPr>
          <w:rFonts w:hint="eastAsia" w:ascii="宋体" w:hAnsi="宋体" w:eastAsia="宋体" w:cs="宋体"/>
          <w:sz w:val="24"/>
          <w:szCs w:val="24"/>
        </w:rPr>
        <w:t>版《</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定额》规定执行。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（2）超出上述规定损耗范围的材料或下料错误造成的损失由乙方承担，在工程结算时按施工期间甲方实际采购材料价格另加10%管理费后从乙方工程款中扣除，材料结余归甲方所有。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按每月完成量，乙方提出申请并经甲方书面确认后40个日历天内，甲方支付当月完成量价款的80%，累计工程进度款不能超过合同暂定总价的80%。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工程竣工验收合格后，竣工资料及结算资料交付齐全、正确、手续完备经集团终审完成并经双方确认后40个日历天内，支付至工程结算总价款的95%。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余留5％为保修金，于保修期满且经甲方及甲方委托的物业公司书面确认无质量问题和违约责任后无息一次付清。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乙方按建筑面积   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本工程合同总工期为</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5.7.4 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质量施工、检验及验收标准：按国家规定的《建筑地面施工及验收规范》（GB50209-2010）、《建筑装饰装修工程质量验收规范》（GB50210-2010）、《建筑电气工程施工质量验收规范》（GB50303-2011）标准执行及甲方确认的质量标准、国家规范、规程进行施工，设计施工图纸、材料，符合相关规范、规程和行业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乙方按工程进度计划编制《材料进场时间计划清单》报送甲方。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甲方根据乙方《材料进场时间计划清单》进行市场了解，乙方有义务协助共同选定材料（设备），甲方进行购买。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乙方提供给甲方的材料（设备）计划清单不得晚于在该项材料（设备）进场使用前十五日并应考虑到订货期。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材料用量由乙方开出交与甲方审定，乙方对所开的材料用量负责。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质量评定：本工程项目质量评定由甲方组织有关人员评定并经质检站、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工程完工后，乙方通过自检认为工程具备竣工验收条件，应于竣工验收前5天向监理单位及甲方提供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乙方应在工程竣工验收后7日内完成甲方提出的整改内容，并通过复验。复验合格后，撤出全部临建、施工人员、机械设备和剩余材料，并负责清除自身遗留垃圾，做到场平料清，并不得向甲方收取任何费用。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附件一：《景观及室外管网工程造价汇总表及各分部工程计价表》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附件二：《甲供材料清单》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附件三：《施工图纸目录及编号》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附件四：《不拖欠农民工工资承诺书》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附件五：《工程质量保修书》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附件一：景观及室外管网工程造价汇总表及各分部工程计价表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附件一1：</w:t>
      </w:r>
      <w:r>
        <w:rPr>
          <w:rStyle w:val="8"/>
          <w:rFonts w:hint="eastAsia" w:ascii="宋体" w:hAnsi="宋体" w:eastAsia="宋体" w:cs="宋体"/>
          <w:b/>
          <w:sz w:val="24"/>
          <w:szCs w:val="24"/>
        </w:rPr>
        <w:t>景观工程造价汇总表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7"/>
        <w:gridCol w:w="3208"/>
        <w:gridCol w:w="2287"/>
        <w:gridCol w:w="2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32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工程总价（元）</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景观硬景工程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小区外围围墙及</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车行主干道道路工程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室外管网雨污水工程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景观水电工程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室外消火栓给水工程</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22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附件一2：景观硬景工程计价表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7"/>
        <w:gridCol w:w="1989"/>
        <w:gridCol w:w="807"/>
        <w:gridCol w:w="1182"/>
        <w:gridCol w:w="1275"/>
        <w:gridCol w:w="1325"/>
        <w:gridCol w:w="1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序号</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项目名称</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w:t>
            </w:r>
          </w:p>
        </w:tc>
        <w:tc>
          <w:tcPr>
            <w:tcW w:w="1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工程量</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综合单价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（元）</w:t>
            </w:r>
          </w:p>
        </w:tc>
        <w:tc>
          <w:tcPr>
            <w:tcW w:w="13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合计（元）</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施工内容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车行道铺装工程</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m2</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平整场地</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m2</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2 1.2</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素土夯实</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m3</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2 1.3</w:t>
            </w:r>
          </w:p>
        </w:tc>
        <w:tc>
          <w:tcPr>
            <w:tcW w:w="1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200厚3：7灰土垫3</w:t>
            </w:r>
          </w:p>
        </w:tc>
        <w:tc>
          <w:tcPr>
            <w:tcW w:w="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m3</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3 1.4</w:t>
            </w:r>
          </w:p>
        </w:tc>
        <w:tc>
          <w:tcPr>
            <w:tcW w:w="19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180厚混凝土垫层</w:t>
            </w:r>
          </w:p>
        </w:tc>
        <w:tc>
          <w:tcPr>
            <w:tcW w:w="8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w:t>
            </w:r>
          </w:p>
        </w:tc>
        <w:tc>
          <w:tcPr>
            <w:tcW w:w="19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8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w:t>
            </w:r>
          </w:p>
        </w:tc>
        <w:tc>
          <w:tcPr>
            <w:tcW w:w="19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8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w:t>
            </w:r>
          </w:p>
        </w:tc>
        <w:tc>
          <w:tcPr>
            <w:tcW w:w="19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 计</w:t>
            </w:r>
          </w:p>
        </w:tc>
        <w:tc>
          <w:tcPr>
            <w:tcW w:w="8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附件一3：景观水电工程计价表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45"/>
        <w:gridCol w:w="1194"/>
        <w:gridCol w:w="934"/>
        <w:gridCol w:w="1572"/>
        <w:gridCol w:w="1643"/>
        <w:gridCol w:w="1337"/>
        <w:gridCol w:w="1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工程量</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综合单价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施工内容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景观给水</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PPR管</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32</w:t>
            </w:r>
          </w:p>
        </w:tc>
        <w:tc>
          <w:tcPr>
            <w:tcW w:w="11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合计</w:t>
            </w:r>
          </w:p>
        </w:tc>
        <w:tc>
          <w:tcPr>
            <w:tcW w:w="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6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附件二：甲供材料清单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面层材料、机砖、砂、石、水泥、混凝土、钢材、脚手架、模板、铁件、防水材料、胶水、生石灰、清洁材料、排水材料、回填土等。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给水及消防水施部分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管、钢套管、柔性套管、型钢材、U型管卡、保温材料、橡胶垫（带）、各种规格阀门、水龙头、地漏、金属软管、给水设备、法兰片（含垫片、螺帽、螺栓）、防腐沥青漆、玻璃丝布、稀料、各种规格型号水表、减压阀组、过滤器、伸缩器、软接头、给水管材（PPR、钢塑复合管、球墨铸铁管等）及管件；消防水管材（镀锌钢管、钢塑复合管、球墨铸铁管等）及管件、室外消防等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雨污水水施部分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污雨水排水管材（UPVC双壁波纹管、UPVC管、镀锌钢管、柔性铸铁管、雨水管、雨水收水口、检查口、三通、透气帽、弯头等配件）、铸铁井盖井座、铸铁爬梯、铸铁雨水篦子、成品化粪池及附带连接用的管道、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电表、配电箱、互感器、电气元件、电缆保护管、标牌、电缆卡子、电线等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第六册防水套管定额中属于普通钢板、扁钢材料为甲供材料；套管由乙方制作安装。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第八册阀门安装定额属于辅材的法兰片为甲供材料。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施工用三级配电箱、各种施工机具、试压泵、测试设备、施工照明等均由乙方承担。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以上甲供材料清单中未列出材料均包含在综合单价中，为乙方自购材料。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附件三：施工图纸目录及编号（略）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附件四：不拖欠农民工工资承诺书</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w:t>
      </w:r>
      <w:r>
        <w:rPr>
          <w:rFonts w:hint="eastAsia" w:ascii="宋体" w:hAnsi="宋体" w:eastAsia="宋体" w:cs="宋体"/>
          <w:b/>
          <w:sz w:val="28"/>
          <w:szCs w:val="28"/>
        </w:rPr>
        <w:t>：</w:t>
      </w:r>
      <w:r>
        <w:rPr>
          <w:rStyle w:val="8"/>
          <w:rFonts w:hint="eastAsia" w:ascii="宋体" w:hAnsi="宋体" w:eastAsia="宋体" w:cs="宋体"/>
          <w:b/>
          <w:sz w:val="28"/>
          <w:szCs w:val="28"/>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五、双方约定的其他工程质量保修事项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5C13C5F"/>
    <w:rsid w:val="27285CC7"/>
    <w:rsid w:val="277B692A"/>
    <w:rsid w:val="283B0B3B"/>
    <w:rsid w:val="2D13514A"/>
    <w:rsid w:val="2E182686"/>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AE94E61"/>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