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测量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仪器租赁合同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签订地点： 根据《中华人民共和国合同法》及有关规定，为明确甲乙双方的权利义务关系，经双方协商一致，订立本合同。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一、产品概况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4"/>
        <w:gridCol w:w="2729"/>
        <w:gridCol w:w="1254"/>
        <w:gridCol w:w="1254"/>
        <w:gridCol w:w="1254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名称/规格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元整（￥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测量仪器的租赁期限始于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日，甲方从当日起交付给乙方使用，同时乙方支付押金人民币（大写）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元）。乙方使用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年，为周期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日结束租赁归还给甲方。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如遇特殊情况，乙方应在归还日之前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天通知甲方，征得甲方同意后，在不超过规定时间的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小时内归还仪器。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如因乙方技术不成熟需暂停租赁，则在悬挂期内甲方可给予免费，但悬挂期不得超过7天。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三、租金和租金的交纳期限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1.首次租赁时，乙方在获得租赁仪器之时应向甲方交纳双方确认租赁的仪器押金，押金为租赁仪器销售的价格。在乙方退回租赁仪器时，甲方应在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小时内退还乙方押金。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2.根据租期的不同，租金也不尽相同。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（1）日租=租金基数*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（2）周租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%………以此类推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（3）月租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第一月租金=租金基数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第四月、五月、六月租金=租金基数*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半年(六个月)以上租金=租金基数*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%………以此类推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3.甲乙双方按合同规定的租赁期间结算租赁费用，日租日结、周租周末结、月租月末结。如乙方不能按期承付租金，甲方则按逾期租金总额每天加收千分之三的罚金。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四、租赁期间租赁仪器的维修保养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1.甲乙双方确认租赁关系之时，双方应对仪器的质量、成色共同确认，租赁仪器由甲方移交给乙方之时起，甲方负责正常的维修保养及普通故障的排除。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2.因乙方使用不当，导致租赁仪器硬件出现故障或受损无法使用，乙方不得自行拆机维修，应返还甲方维修，费用由乙方支付。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五、出租方与承租方的变更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1.在租赁期间，甲方如将出租仪器所有权转移给第三方，应通知乙方，征求乙方同意后可用相同性能的仪器代替出租，但甲、乙双方应对价格进行再次确认并订立新的合同。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2.在租赁期间，乙方可随时终止租赁，缴纳的租金以实际使用时间所属期间支付给甲方;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3.乙方申请转换租期类型时，应在租期到来前五天通知甲方，甲乙双方应订立新合同，租赁费用按新确认的租赁期限确认。如乙方要求废除前期合同，订立新合同时涵盖前合同，则应向甲方支付租金基数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%的违约金，以弥补甲方丧失的机会成本。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4.乙方享有仪器的使用权，但不得转让或作为财产抵押，未经甲方同意亦不得在设备上增加或拆除任何部件。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5.由于乙方的需求改变，不再租赁而要购买所租赁的仪器，由乙方向甲方申请则可以押金充抵仪器款，甲方退回前期乙方租赁费用的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1.甲乙双方一方不履行合同义务或者履行合同义务不符合约定的，应当承担继续履行、采取补救措施或者赔偿损失等违约责任。在履行义务或者采取补救措施后，对方还有其他损失的，应当赔偿损失。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2.甲乙双方一方明确表示或者以自己的行为表明不履行合同义务的，对方可以在履行期限届满之前要求其承担违约责任。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3.乙方未支付租赁费，甲方可以要求其支付租赁费或从押金中扣除。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乙双方一方不履行合同义务或者履行合同义务不符合约定，给对方造成损失的，损失赔偿额应当相当于因违约所造成的损失，包括合同履行后可以获得的利益，依照《中华人民共国消费者权益保护法》的规定承担损害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5.乙方可以依照《中华人民共和国担保法》约定向甲方给付押金作为债权的担保。乙方履行债务后，押金应当抵作价款或者收回。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6.甲乙双方都违反合同的，应当各自承担相应的责任。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7.甲乙双方一方因第三人的原因造成违约的，应当向对方承担违约责任。甲乙双方一方和第三人之间的纠纷，依照法律规定或者按照约定解决。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1.本合同在规定的租赁期届满前日内，双方如愿意延长租赁期，应重新签订合同。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2.本合同未尽事宜，一律按《中华人民共和国合同法》的有关规定，经合同双方共同协商，做出补充规定，补充规定与本合同具有同等效力。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7F10A53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CCC4EC2"/>
    <w:rsid w:val="2E1E1B7D"/>
    <w:rsid w:val="2F4E2D03"/>
    <w:rsid w:val="32B33033"/>
    <w:rsid w:val="344B57EC"/>
    <w:rsid w:val="36251426"/>
    <w:rsid w:val="36582B94"/>
    <w:rsid w:val="36A8730E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C418DE"/>
    <w:rsid w:val="51F554A2"/>
    <w:rsid w:val="58B40346"/>
    <w:rsid w:val="592B33C7"/>
    <w:rsid w:val="5B7C2781"/>
    <w:rsid w:val="5B8C3975"/>
    <w:rsid w:val="5B936205"/>
    <w:rsid w:val="5FBC2AC2"/>
    <w:rsid w:val="65F0223B"/>
    <w:rsid w:val="6754110B"/>
    <w:rsid w:val="675E1237"/>
    <w:rsid w:val="679227B5"/>
    <w:rsid w:val="6A5B62F6"/>
    <w:rsid w:val="6AF96C34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B6D1E96"/>
    <w:rsid w:val="7D5161A0"/>
    <w:rsid w:val="7FE107BF"/>
    <w:rsid w:val="FFD6E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2020-04-23T09:33:08Z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