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胡柚买卖合同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甲方（出卖人）：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      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  <w:u w:val="single"/>
        </w:rPr>
      </w:pPr>
      <w:bookmarkStart w:id="0" w:name="_GoBack"/>
      <w:bookmarkEnd w:id="0"/>
      <w:r>
        <w:rPr>
          <w:rFonts w:hint="eastAsia" w:cs="Stsong" w:asciiTheme="minorEastAsia" w:hAnsiTheme="minorEastAsia"/>
          <w:color w:val="000000"/>
          <w:szCs w:val="24"/>
        </w:rPr>
        <w:t>法定代表人：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       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住所：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      </w:t>
      </w:r>
    </w:p>
    <w:p>
      <w:pPr>
        <w:pStyle w:val="5"/>
        <w:spacing w:after="312" w:afterLines="100"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联系方式：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   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乙方（买受人）：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法定代表人：</w:t>
      </w:r>
      <w:r>
        <w:rPr>
          <w:rFonts w:cs="Stsong" w:asciiTheme="minorEastAsia" w:hAnsiTheme="minorEastAsia"/>
          <w:color w:val="000000"/>
          <w:szCs w:val="24"/>
          <w:u w:val="single"/>
        </w:rPr>
        <w:t>       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住所：</w:t>
      </w:r>
      <w:r>
        <w:rPr>
          <w:rFonts w:cs="Stsong" w:asciiTheme="minorEastAsia" w:hAnsiTheme="minorEastAsia"/>
          <w:color w:val="000000"/>
          <w:szCs w:val="24"/>
          <w:u w:val="single"/>
        </w:rPr>
        <w:t>               </w:t>
      </w:r>
    </w:p>
    <w:p>
      <w:pPr>
        <w:pStyle w:val="5"/>
        <w:spacing w:after="312" w:afterLines="100"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联系方式：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  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甲、乙双方根据《中华人民共和国合同法》相关条款，本着平等自愿，互惠互利的原则，按照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胡柚“三联三增”产销协作机制建立产销协作关系，以降低胡柚生产成本，提高胡柚品质，有利于企业组织生产，促进胡柚销售，经双方协商，特订合作协议，具体条款如下：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一、挂联基地基本情况：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挂联基地名称：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座落位置：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jc w:val="both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总面积：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亩，总株数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株，树龄</w:t>
      </w:r>
      <w:r>
        <w:rPr>
          <w:rFonts w:cs="Stsong" w:asciiTheme="minorEastAsia" w:hAnsiTheme="minorEastAsia"/>
          <w:color w:val="000000"/>
          <w:szCs w:val="24"/>
        </w:rPr>
        <w:t>_______</w:t>
      </w:r>
      <w:r>
        <w:rPr>
          <w:rFonts w:hint="eastAsia" w:cs="Stsong" w:asciiTheme="minorEastAsia" w:hAnsiTheme="minorEastAsia"/>
          <w:color w:val="000000"/>
          <w:szCs w:val="24"/>
        </w:rPr>
        <w:t>年；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二、挂联基地应达到的要求：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、栽培技术标准：甲方严格按照农业部门制定的《胡柚“三联三增”挂联生产技术规程》组织实施，并接受企业等技术人员的指导，出口基地的则按照出口基地标准执行。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、甲方在管理形式上，要逐步达到“五个统一”即：统一质量标准、统一技术指导、统一生产管理、统一供应农资、统一销售产品，以确保产量和质量规格。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、如无自然灾害等不可抗力原因，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年挂联基地产量应达到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公斤</w:t>
      </w:r>
      <w:r>
        <w:rPr>
          <w:rFonts w:cs="Stsong" w:asciiTheme="minorEastAsia" w:hAnsiTheme="minorEastAsia"/>
          <w:color w:val="000000"/>
          <w:szCs w:val="24"/>
        </w:rPr>
        <w:t>;二级</w:t>
      </w:r>
      <w:r>
        <w:rPr>
          <w:rFonts w:hint="eastAsia" w:cs="Stsong" w:asciiTheme="minorEastAsia" w:hAnsiTheme="minorEastAsia"/>
          <w:color w:val="000000"/>
          <w:szCs w:val="24"/>
        </w:rPr>
        <w:t>果以上优质果率达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</w:t>
      </w:r>
      <w:r>
        <w:rPr>
          <w:rFonts w:cs="Stsong" w:asciiTheme="minorEastAsia" w:hAnsiTheme="minorEastAsia"/>
          <w:color w:val="000000"/>
          <w:szCs w:val="24"/>
        </w:rPr>
        <w:t>%</w:t>
      </w:r>
      <w:r>
        <w:rPr>
          <w:rFonts w:hint="eastAsia" w:cs="Stsong" w:asciiTheme="minorEastAsia" w:hAnsiTheme="minorEastAsia"/>
          <w:color w:val="000000"/>
          <w:szCs w:val="24"/>
        </w:rPr>
        <w:t>，其中特级果率达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</w:t>
      </w:r>
      <w:r>
        <w:rPr>
          <w:rFonts w:cs="Stsong" w:asciiTheme="minorEastAsia" w:hAnsiTheme="minorEastAsia"/>
          <w:color w:val="000000"/>
          <w:szCs w:val="24"/>
        </w:rPr>
        <w:t>%</w:t>
      </w:r>
      <w:r>
        <w:rPr>
          <w:rFonts w:hint="eastAsia" w:cs="Stsong" w:asciiTheme="minorEastAsia" w:hAnsiTheme="minorEastAsia"/>
          <w:color w:val="000000"/>
          <w:szCs w:val="24"/>
        </w:rPr>
        <w:t>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三、挂联双方生产方面的权利与义务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、乙方帮助甲方制定全年生产管理与桔园改造计划，为达到优质丰产示范的目标，根据基地实际情况双方共同做好如下事项：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）对基地进行行基础设施等方面建设主要有：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）对基地进行技术改造方面主要有：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 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）对基地配置生产工具方面主要有：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4</w:t>
      </w:r>
      <w:r>
        <w:rPr>
          <w:rFonts w:hint="eastAsia" w:cs="Stsong" w:asciiTheme="minorEastAsia" w:hAnsiTheme="minorEastAsia"/>
          <w:color w:val="000000"/>
          <w:szCs w:val="24"/>
        </w:rPr>
        <w:t>）其它有关措施：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、乙方有权制定自己的企业生产与收购标准，但标准不能低于农业部门所制定的生产技术标准与国家、地方标准，并要求甲方予以实施。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、乙方指派专人对甲方进行每年不少于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次的实地技术指导和培训。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4</w:t>
      </w:r>
      <w:r>
        <w:rPr>
          <w:rFonts w:hint="eastAsia" w:cs="Stsong" w:asciiTheme="minorEastAsia" w:hAnsiTheme="minorEastAsia"/>
          <w:color w:val="000000"/>
          <w:szCs w:val="24"/>
        </w:rPr>
        <w:t>、乙方积极为甲方提供物质、生产设备、基础设施建设等方面的各项服务。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5</w:t>
      </w:r>
      <w:r>
        <w:rPr>
          <w:rFonts w:hint="eastAsia" w:cs="Stsong" w:asciiTheme="minorEastAsia" w:hAnsiTheme="minorEastAsia"/>
          <w:color w:val="000000"/>
          <w:szCs w:val="24"/>
        </w:rPr>
        <w:t>、甲方要严格按照乙方所提出的要求进行生产，如有变化需提前向乙方提出。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6</w:t>
      </w:r>
      <w:r>
        <w:rPr>
          <w:rFonts w:hint="eastAsia" w:cs="Stsong" w:asciiTheme="minorEastAsia" w:hAnsiTheme="minorEastAsia"/>
          <w:color w:val="000000"/>
          <w:szCs w:val="24"/>
        </w:rPr>
        <w:t>、甲、乙双方有同等享受上级部门各种优惠政策的补助权利，其补助要求按照县有关文件执行。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四、挂联双方的产品收购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1、按照常山胡柚“三联三增”协作机制，乙方对</w:t>
      </w:r>
      <w:r>
        <w:rPr>
          <w:rFonts w:hint="eastAsia" w:cs="Stsong" w:asciiTheme="minorEastAsia" w:hAnsiTheme="minorEastAsia"/>
          <w:color w:val="000000"/>
          <w:szCs w:val="24"/>
        </w:rPr>
        <w:t>甲方挂联基地范围内达到要求的胡柚果品实行优质优价收购。挂联基地胡柚收购数量最少为：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公斤。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、乙方收购胡柚的标准及价格：要求果形扁圆或高扁圆，具有本品种固有特征，包泽黄色或浅橙黄色，可溶性固形枷≥</w:t>
      </w:r>
      <w:r>
        <w:rPr>
          <w:rFonts w:cs="Stsong" w:asciiTheme="minorEastAsia" w:hAnsiTheme="minorEastAsia"/>
          <w:color w:val="000000"/>
          <w:szCs w:val="24"/>
        </w:rPr>
        <w:t>10.0</w:t>
      </w:r>
      <w:r>
        <w:rPr>
          <w:rFonts w:hint="eastAsia" w:cs="Stsong" w:asciiTheme="minorEastAsia" w:hAnsiTheme="minorEastAsia"/>
          <w:color w:val="000000"/>
          <w:szCs w:val="24"/>
        </w:rPr>
        <w:t>。果面光洁，无溃疡病，基本无影响果面美观的未愈合的机械伤，特一级果的各种病虫、机械等危害斑累计不超过果皮总面积的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%</w:t>
      </w: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建议</w:t>
      </w:r>
      <w:r>
        <w:rPr>
          <w:rFonts w:cs="Stsong" w:asciiTheme="minorEastAsia" w:hAnsiTheme="minorEastAsia"/>
          <w:color w:val="000000"/>
          <w:szCs w:val="24"/>
        </w:rPr>
        <w:t>5%</w:t>
      </w:r>
      <w:r>
        <w:rPr>
          <w:rFonts w:hint="eastAsia" w:cs="Stsong" w:asciiTheme="minorEastAsia" w:hAnsiTheme="minorEastAsia"/>
          <w:color w:val="000000"/>
          <w:szCs w:val="24"/>
        </w:rPr>
        <w:t>～</w:t>
      </w:r>
      <w:r>
        <w:rPr>
          <w:rFonts w:cs="Stsong" w:asciiTheme="minorEastAsia" w:hAnsiTheme="minorEastAsia"/>
          <w:color w:val="000000"/>
          <w:szCs w:val="24"/>
        </w:rPr>
        <w:t>10%)</w:t>
      </w:r>
      <w:r>
        <w:rPr>
          <w:rFonts w:hint="eastAsia" w:cs="Stsong" w:asciiTheme="minorEastAsia" w:hAnsiTheme="minorEastAsia"/>
          <w:color w:val="000000"/>
          <w:szCs w:val="24"/>
        </w:rPr>
        <w:t>，二级果危害斑累计不超过果皮总面积的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</w:t>
      </w:r>
      <w:r>
        <w:rPr>
          <w:rFonts w:cs="Stsong" w:asciiTheme="minorEastAsia" w:hAnsiTheme="minorEastAsia"/>
          <w:color w:val="000000"/>
          <w:szCs w:val="24"/>
        </w:rPr>
        <w:t>%</w:t>
      </w:r>
      <w:r>
        <w:rPr>
          <w:rFonts w:hint="eastAsia" w:cs="Stsong" w:asciiTheme="minorEastAsia" w:hAnsiTheme="minorEastAsia"/>
          <w:color w:val="000000"/>
          <w:szCs w:val="24"/>
        </w:rPr>
        <w:t>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其中：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特级果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85mm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&lt;95mm=</w:t>
      </w:r>
      <w:r>
        <w:rPr>
          <w:rFonts w:hint="eastAsia" w:cs="Stsong" w:asciiTheme="minorEastAsia" w:hAnsiTheme="minorEastAsia"/>
          <w:color w:val="000000"/>
          <w:szCs w:val="24"/>
        </w:rPr>
        <w:t>的收购价：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元</w:t>
      </w:r>
      <w:r>
        <w:rPr>
          <w:rFonts w:cs="Stsong" w:asciiTheme="minorEastAsia" w:hAnsiTheme="minorEastAsia"/>
          <w:color w:val="000000"/>
          <w:szCs w:val="24"/>
        </w:rPr>
        <w:t>/</w:t>
      </w:r>
      <w:r>
        <w:rPr>
          <w:rFonts w:hint="eastAsia" w:cs="Stsong" w:asciiTheme="minorEastAsia" w:hAnsiTheme="minorEastAsia"/>
          <w:color w:val="000000"/>
          <w:szCs w:val="24"/>
        </w:rPr>
        <w:t>公斤；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一级果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75mm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&lt;85mm=</w:t>
      </w:r>
      <w:r>
        <w:rPr>
          <w:rFonts w:hint="eastAsia" w:cs="Stsong" w:asciiTheme="minorEastAsia" w:hAnsiTheme="minorEastAsia"/>
          <w:color w:val="000000"/>
          <w:szCs w:val="24"/>
        </w:rPr>
        <w:t>的收购价：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元</w:t>
      </w:r>
      <w:r>
        <w:rPr>
          <w:rFonts w:cs="Stsong" w:asciiTheme="minorEastAsia" w:hAnsiTheme="minorEastAsia"/>
          <w:color w:val="000000"/>
          <w:szCs w:val="24"/>
        </w:rPr>
        <w:t>/</w:t>
      </w:r>
      <w:r>
        <w:rPr>
          <w:rFonts w:hint="eastAsia" w:cs="Stsong" w:asciiTheme="minorEastAsia" w:hAnsiTheme="minorEastAsia"/>
          <w:color w:val="000000"/>
          <w:szCs w:val="24"/>
        </w:rPr>
        <w:t>公斤；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二级果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65mm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&lt;75mm;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95mm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&lt;105mm9=</w:t>
      </w:r>
      <w:r>
        <w:rPr>
          <w:rFonts w:hint="eastAsia" w:cs="Stsong" w:asciiTheme="minorEastAsia" w:hAnsiTheme="minorEastAsia"/>
          <w:color w:val="000000"/>
          <w:szCs w:val="24"/>
        </w:rPr>
        <w:t>的收购价：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元</w:t>
      </w:r>
      <w:r>
        <w:rPr>
          <w:rFonts w:cs="Stsong" w:asciiTheme="minorEastAsia" w:hAnsiTheme="minorEastAsia"/>
          <w:color w:val="000000"/>
          <w:szCs w:val="24"/>
        </w:rPr>
        <w:t>/</w:t>
      </w:r>
      <w:r>
        <w:rPr>
          <w:rFonts w:hint="eastAsia" w:cs="Stsong" w:asciiTheme="minorEastAsia" w:hAnsiTheme="minorEastAsia"/>
          <w:color w:val="000000"/>
          <w:szCs w:val="24"/>
        </w:rPr>
        <w:t>公斤。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甲乙双方协定的标准、价格：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、收购时间：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hint="eastAsia" w:cs="Stsong" w:asciiTheme="minorEastAsia" w:hAnsiTheme="minorEastAsia"/>
          <w:color w:val="000000"/>
          <w:szCs w:val="24"/>
        </w:rPr>
        <w:t>年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 </w:t>
      </w:r>
      <w:r>
        <w:rPr>
          <w:rFonts w:hint="eastAsia" w:cs="Stsong" w:asciiTheme="minorEastAsia" w:hAnsiTheme="minorEastAsia"/>
          <w:color w:val="000000"/>
          <w:szCs w:val="24"/>
        </w:rPr>
        <w:t>月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 </w:t>
      </w:r>
      <w:r>
        <w:rPr>
          <w:rFonts w:hint="eastAsia" w:cs="Stsong" w:asciiTheme="minorEastAsia" w:hAnsiTheme="minorEastAsia"/>
          <w:color w:val="000000"/>
          <w:szCs w:val="24"/>
        </w:rPr>
        <w:t>日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交货地点：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付款方式：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4</w:t>
      </w:r>
      <w:r>
        <w:rPr>
          <w:rFonts w:hint="eastAsia" w:cs="Stsong" w:asciiTheme="minorEastAsia" w:hAnsiTheme="minorEastAsia"/>
          <w:color w:val="000000"/>
          <w:szCs w:val="24"/>
        </w:rPr>
        <w:t>、协议争议的解决方式：本协议在履行过程中，如在收购质量标准上发生纠纷，由双方当事人协商解决或向胡柚“三联三增”质量协调小组提出协商解决</w:t>
      </w:r>
      <w:r>
        <w:rPr>
          <w:rFonts w:cs="Stsong" w:asciiTheme="minorEastAsia" w:hAnsiTheme="minorEastAsia"/>
          <w:color w:val="000000"/>
          <w:szCs w:val="24"/>
        </w:rPr>
        <w:t>;</w:t>
      </w:r>
      <w:r>
        <w:rPr>
          <w:rFonts w:hint="eastAsia" w:cs="Stsong" w:asciiTheme="minorEastAsia" w:hAnsiTheme="minorEastAsia"/>
          <w:color w:val="000000"/>
          <w:szCs w:val="24"/>
        </w:rPr>
        <w:t>也可由当地工商行政管理部门调解；协商或调解不成的，按下列第——种方式解决：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(1)</w:t>
      </w:r>
      <w:r>
        <w:rPr>
          <w:rFonts w:hint="eastAsia" w:cs="Stsong" w:asciiTheme="minorEastAsia" w:hAnsiTheme="minorEastAsia"/>
          <w:color w:val="000000"/>
          <w:szCs w:val="24"/>
        </w:rPr>
        <w:t>提交</w:t>
      </w:r>
      <w:r>
        <w:rPr>
          <w:rFonts w:cs="Stsong" w:asciiTheme="minorEastAsia" w:hAnsiTheme="minorEastAsia"/>
          <w:color w:val="000000"/>
          <w:szCs w:val="24"/>
        </w:rPr>
        <w:t>_______</w:t>
      </w:r>
      <w:r>
        <w:rPr>
          <w:rFonts w:hint="eastAsia" w:cs="Stsong" w:asciiTheme="minorEastAsia" w:hAnsiTheme="minorEastAsia"/>
          <w:color w:val="000000"/>
          <w:szCs w:val="24"/>
        </w:rPr>
        <w:t>仲裁委员会仲裁；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(2)</w:t>
      </w:r>
      <w:r>
        <w:rPr>
          <w:rFonts w:hint="eastAsia" w:cs="Stsong" w:asciiTheme="minorEastAsia" w:hAnsiTheme="minorEastAsia"/>
          <w:color w:val="000000"/>
          <w:szCs w:val="24"/>
        </w:rPr>
        <w:t>依法向人民法院起诉。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五、违约责任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、由于甲方未按照乙方生产要求或农业部门提出的生产要求实施，无其它合理原因，造成果品质量达不到要求的，乙方有权拒收不合格产品并将回收多投入的成本及上级的有关补助。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、乙方如未能按照合同价收购胡柚果品，则需赔偿甲方市场收购价与合同价差价的两倍，反之亦然。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六、其他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、以上条款必须共同遵守，协议未尽事项，由双方协商解决。如有一方违约，由违约方赔偿损失，本协议壹式六份，甲、乙双方各执壹份，监证单位、工商局、农业局、所在乡镇农办各执壹份，双方签字后生效。</w:t>
      </w:r>
    </w:p>
    <w:p>
      <w:pPr>
        <w:pStyle w:val="5"/>
        <w:spacing w:after="312" w:afterLines="100"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、本协议经各方签署后生效。</w:t>
      </w:r>
    </w:p>
    <w:tbl>
      <w:tblPr>
        <w:tblStyle w:val="17"/>
        <w:tblW w:w="8301" w:type="dxa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pStyle w:val="5"/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甲方（签字或盖章）：</w:t>
            </w:r>
          </w:p>
        </w:tc>
        <w:tc>
          <w:tcPr>
            <w:tcW w:w="4150" w:type="dxa"/>
          </w:tcPr>
          <w:p>
            <w:pPr>
              <w:pStyle w:val="5"/>
              <w:spacing w:line="360" w:lineRule="auto"/>
              <w:rPr>
                <w:rFonts w:cs="Stsong" w:asciiTheme="minorEastAsia" w:hAnsiTheme="minorEastAsia"/>
                <w:color w:val="000000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乙方（签字或盖章）：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pStyle w:val="5"/>
              <w:spacing w:line="360" w:lineRule="auto"/>
              <w:rPr>
                <w:rFonts w:cs="Stsong" w:asciiTheme="minorEastAsia" w:hAnsiTheme="minorEastAsia"/>
                <w:color w:val="000000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签订时间：</w:t>
            </w:r>
          </w:p>
        </w:tc>
        <w:tc>
          <w:tcPr>
            <w:tcW w:w="4150" w:type="dxa"/>
          </w:tcPr>
          <w:p>
            <w:pPr>
              <w:pStyle w:val="5"/>
              <w:spacing w:line="360" w:lineRule="auto"/>
              <w:rPr>
                <w:rFonts w:cs="Stsong" w:asciiTheme="minorEastAsia" w:hAnsiTheme="minorEastAsia"/>
                <w:color w:val="000000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签订时间：</w:t>
            </w:r>
          </w:p>
        </w:tc>
      </w:tr>
    </w:tbl>
    <w:p>
      <w:pPr>
        <w:pStyle w:val="5"/>
        <w:spacing w:line="360" w:lineRule="auto"/>
        <w:rPr>
          <w:rFonts w:cs="Stsong" w:asciiTheme="minorEastAsia" w:hAnsiTheme="minorEastAsia"/>
          <w:color w:val="000000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song">
    <w:altName w:val="汉仪中等线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11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11"/>
        <w:rFonts w:ascii="Verdana" w:hAnsi="Verdana"/>
      </w:rPr>
      <w:t>- 6 -</w:t>
    </w:r>
    <w:r>
      <w:rPr>
        <w:rFonts w:ascii="Verdana" w:hAnsi="Verdana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98"/>
    <w:rsid w:val="00020A40"/>
    <w:rsid w:val="00064490"/>
    <w:rsid w:val="00072EE2"/>
    <w:rsid w:val="000B36EF"/>
    <w:rsid w:val="000B5223"/>
    <w:rsid w:val="000D7242"/>
    <w:rsid w:val="001570B2"/>
    <w:rsid w:val="001B1FCD"/>
    <w:rsid w:val="001D25D0"/>
    <w:rsid w:val="001D5004"/>
    <w:rsid w:val="00212251"/>
    <w:rsid w:val="0023511A"/>
    <w:rsid w:val="0027460F"/>
    <w:rsid w:val="003116ED"/>
    <w:rsid w:val="00367904"/>
    <w:rsid w:val="00374298"/>
    <w:rsid w:val="003D4680"/>
    <w:rsid w:val="003E4BDF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84B8C"/>
    <w:rsid w:val="00FA4321"/>
    <w:rsid w:val="00FC4F0C"/>
    <w:rsid w:val="7BE2A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keepLines/>
      <w:widowControl/>
      <w:spacing w:before="280" w:after="280"/>
      <w:jc w:val="center"/>
      <w:outlineLvl w:val="1"/>
    </w:pPr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Table Theme"/>
    <w:basedOn w:val="7"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标题 字符"/>
    <w:basedOn w:val="10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3"/>
    <w:uiPriority w:val="9"/>
    <w:rPr>
      <w:rFonts w:ascii="等线" w:hAnsi="等线" w:eastAsia="宋体" w:cs="Times New Roman"/>
      <w:b/>
      <w:bCs/>
      <w:sz w:val="32"/>
      <w:szCs w:val="32"/>
    </w:rPr>
  </w:style>
  <w:style w:type="paragraph" w:customStyle="1" w:styleId="15">
    <w:name w:val="样式 样式 标题 3 + (中文) 宋体1 + 小四"/>
    <w:basedOn w:val="1"/>
    <w:link w:val="16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16">
    <w:name w:val="样式 样式 标题 3 + (中文) 宋体1 + 小四 Char"/>
    <w:basedOn w:val="10"/>
    <w:link w:val="15"/>
    <w:uiPriority w:val="0"/>
    <w:rPr>
      <w:rFonts w:ascii="等线" w:hAnsi="等线" w:eastAsia="宋体" w:cs="Times New Roman"/>
      <w:b/>
      <w:bCs/>
      <w:sz w:val="32"/>
      <w:szCs w:val="32"/>
    </w:rPr>
  </w:style>
  <w:style w:type="table" w:customStyle="1" w:styleId="17">
    <w:name w:val="Table Normal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Grid Table 1 Light"/>
    <w:basedOn w:val="7"/>
    <w:uiPriority w:val="46"/>
    <w:rPr>
      <w:rFonts w:ascii="Times New Roman" w:hAnsi="Times New Roman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9">
    <w:name w:val="标题 2 字符"/>
    <w:basedOn w:val="10"/>
    <w:link w:val="2"/>
    <w:uiPriority w:val="9"/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table" w:customStyle="1" w:styleId="20">
    <w:name w:val="Normal Table0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2">
    <w:name w:val="页脚 字符"/>
    <w:basedOn w:val="10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293</Words>
  <Characters>1674</Characters>
  <Lines>13</Lines>
  <Paragraphs>3</Paragraphs>
  <TotalTime>0</TotalTime>
  <ScaleCrop>false</ScaleCrop>
  <LinksUpToDate>false</LinksUpToDate>
  <CharactersWithSpaces>1964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2019-03-10T21:38:00Z</dcterms:created>
  <dc:creator>雯 张</dc:creator>
  <cp:lastModifiedBy>雯 张</cp:lastModifiedBy>
  <dcterms:modified xsi:type="dcterms:W3CDTF">2020-05-27T16:17:34Z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