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pPr>
      <w:r>
        <w:t>保障性住房租赁合同</w:t>
      </w:r>
    </w:p>
    <w:p>
      <w:pPr>
        <w:widowControl/>
        <w:shd w:val="clear" w:color="auto" w:fill="FFFFFF" w:themeFill="background1"/>
        <w:spacing w:before="75" w:line="360" w:lineRule="auto"/>
        <w:ind w:firstLine="420"/>
        <w:jc w:val="righ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合同编号：____________</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甲方（出租方）：____________________</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乙方（承租方）：____________________</w:t>
      </w:r>
    </w:p>
    <w:p>
      <w:pPr>
        <w:widowControl/>
        <w:shd w:val="clear" w:color="auto" w:fill="FFFFFF" w:themeFill="background1"/>
        <w:spacing w:before="75" w:after="312" w:afterLines="100"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乙方家庭成员：______________________</w:t>
      </w:r>
    </w:p>
    <w:p>
      <w:pPr>
        <w:widowControl/>
        <w:shd w:val="clear" w:color="auto" w:fill="FFFFFF" w:themeFill="background1"/>
        <w:spacing w:before="75" w:after="312" w:afterLines="100"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依据《中华人民共和国合同法》等有关法律法规规定，为明确保障性住房租赁双方的权利和义务，保护双方合法权益，经双方协商签订如下合同：</w:t>
      </w:r>
    </w:p>
    <w:p>
      <w:pPr>
        <w:widowControl/>
        <w:shd w:val="clear" w:color="auto" w:fill="FFFFFF" w:themeFill="background1"/>
        <w:spacing w:before="75" w:line="360" w:lineRule="auto"/>
        <w:ind w:firstLine="420"/>
        <w:jc w:val="left"/>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一、保障房基本情况</w:t>
      </w:r>
    </w:p>
    <w:p>
      <w:pPr>
        <w:widowControl/>
        <w:shd w:val="clear" w:color="auto" w:fill="FFFFFF" w:themeFill="background1"/>
        <w:spacing w:before="75" w:line="360" w:lineRule="auto"/>
        <w:ind w:firstLine="420"/>
        <w:jc w:val="left"/>
        <w:rPr>
          <w:rFonts w:ascii="宋体" w:hAnsi="宋体" w:eastAsia="宋体" w:cs="宋体"/>
          <w:color w:val="000000" w:themeColor="text1"/>
          <w:kern w:val="0"/>
          <w:sz w:val="24"/>
          <w:lang w:bidi="ar"/>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保障房坐落于__________________________________小区，_____号楼____</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单元____室，建筑面积为______平方米。</w:t>
      </w:r>
    </w:p>
    <w:p>
      <w:pPr>
        <w:widowControl/>
        <w:shd w:val="clear" w:color="auto" w:fill="FFFFFF" w:themeFill="background1"/>
        <w:spacing w:before="75" w:line="360" w:lineRule="auto"/>
        <w:ind w:firstLine="420"/>
        <w:jc w:val="left"/>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二、保障对象类型</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____________□________________□</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____________□________________□</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____________□________________□</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____________□________________□</w:t>
      </w:r>
    </w:p>
    <w:p>
      <w:pPr>
        <w:widowControl/>
        <w:shd w:val="clear" w:color="auto" w:fill="FFFFFF" w:themeFill="background1"/>
        <w:spacing w:before="75" w:line="360" w:lineRule="auto"/>
        <w:ind w:firstLine="420"/>
        <w:jc w:val="left"/>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三、租金标准、费用缴纳及租赁期限</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1．租金标准：保障房按照建筑面积收取租金。乙方家庭人口为____人，所承租保障房的建筑面积为_____㎡，其中：享受的保障面积为_____㎡，租金标准为____元/月____平方米；保障外面积为____㎡，租金标准为____元/月____平方米，_____________________________，该房屋月租金合计_______元。</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2．租金缴纳：租金以_____为周期进行缴纳，每期租金合计_____元。乙方应在签订合同时，缴纳当期租金，每期最后7日前向甲方缴纳下期租金。逾期未缴纳租金的，按照第七条第一款承担违约金。</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3．租赁期限：租赁期限为____年，自____年___月____日起，至_____年___月___日止。到期前30日内，由乙方向甲方申请复核，复核包括保障资格审核和租金核算，审核通过者合同（附件2）加盖一次审批专用章，合同自动延续一个租赁期，审核未通过者合同自动终止。</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4．签订合同时，乙方须缴纳押金。押金按套缴纳，每套_______元。乙方腾退房屋时，若不存在违约欠租欠费事项，并提供相应缴纳押金凭证，甲方应将乙方所缴押金返还（不计算利息）。</w:t>
      </w:r>
    </w:p>
    <w:p>
      <w:pPr>
        <w:widowControl/>
        <w:shd w:val="clear" w:color="auto" w:fill="FFFFFF" w:themeFill="background1"/>
        <w:spacing w:before="75" w:line="360" w:lineRule="auto"/>
        <w:ind w:firstLine="420"/>
        <w:jc w:val="left"/>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四、甲乙双方的权利和义务</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1．实施物业管理的小区，乙方应签订相关物业管理协议后方可入住。</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2．乙方应合理使用并爱护该房屋及其附属设施，未经甲方书面同意，乙方不得拆改房屋的结构；不得改动房屋的设施；不得擅自进行装修；不得改变房屋用途。</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3．为保证保障性住房的合理、有效使用，甲方有权入户检查住房使用情况及核对住户的有关资料，乙方应予以配合。</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4．租赁期间，乙方应及时足额向甲方缴纳租金。使用该房屋所发生的水费、电费、燃气费、采暖费、通讯费、宽带费、有线电视费、垃圾处置费、物业管理费等相关费用均由乙方自行承担。乙方退房时，应结清上述的相关费用，向甲方出示缴费凭证，双方办理退房手续。乙方拖欠上述费用，甲方可从押金中直接扣除。</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5．在合同有效期内，如果乙方家庭保障类型、家庭人口数等发生变化，经住房保障部门审批通过后，甲乙双方需按照乙方变更后的保障类型填写租赁合同审核表（附件2），保障对象的保障类型和租金标准应以当期已加盖审批专用章的合同审核表（附件2）内容为准。</w:t>
      </w:r>
    </w:p>
    <w:p>
      <w:pPr>
        <w:widowControl/>
        <w:shd w:val="clear" w:color="auto" w:fill="FFFFFF" w:themeFill="background1"/>
        <w:spacing w:before="75" w:line="360" w:lineRule="auto"/>
        <w:ind w:firstLine="420"/>
        <w:jc w:val="left"/>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五、房屋安全及维修</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1．甲方以保障乙方的正常使用为原则，对房屋实施维修养护，对甲方实施的室内及相邻区域的维修养护工作，乙方应积极配合。因乙方使用不当或人为损坏小区房屋、附属设施设备、相邻居民财物的，由乙方原样修复或赔偿实际损失。</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2．甲、乙双方按照相关法律、法规及政策的规定和双方的约定，认真履行各自的安全消防义务。乙方承诺不在该房屋内或公共区域存放易燃易爆物品，不私自改变供电线路，不违规安装电器设备等。甲方确保该房屋消防安全设施符合相关法律、法规及政策规定的安全标准，并督促物业服务单位做好公共区域的消防安全工作。</w:t>
      </w:r>
    </w:p>
    <w:p>
      <w:pPr>
        <w:widowControl/>
        <w:shd w:val="clear" w:color="auto" w:fill="FFFFFF" w:themeFill="background1"/>
        <w:spacing w:before="75" w:line="360" w:lineRule="auto"/>
        <w:ind w:firstLine="420"/>
        <w:jc w:val="left"/>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六、合同解除、终止条件及退房事宜</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1．在本合同租赁期限内，乙方因家庭状况发生变化不再具有保障资格，或因违反管理规定而被保障房管理部门取消保障资格的，租赁合同自动终止。乙方应在接到退出通知后30日内退出保障房。乙方暂时无法腾退房屋的，则给予3个月的搬迁过渡期，过渡期按市场租金标准收取租金。过渡期间，若乙方自愿按市场租金继续承租保障房，则应向甲方提交书面续租申请，经甲方批准，可重新签订房屋续租协议；未申请续租或续租申请未经甲方批的，则应在过渡期结束前腾退房屋，逾期乙方除租金外须另行按照第七条第二款承担违约金。</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2．在本合同租赁期限内，乙方有下列行为之一的，甲方有权单方解除本合同，并向乙方下达书面退出通知。</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（1）无正当理由连续6个月以上未在所承租的保障房居住的；</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（2）累计6个月以上未缴纳租金的；</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（3）不再具备租赁保障性住房条件，经催告拒绝退出的；</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（4）有关信息发生变动超过规定条件不告知的；</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（5）转租、出借保障性住房的；</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（6）损毁、破坏保障性住房，擅自改变房屋用途、结构和配套设施，或者不当使用造成重大损失的；</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（7）法律、法规规定和合同约定的其他情形；</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（8）其他违反住房保障管理规定的情形；</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（9）__________________________________________</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（10）_________________________________________</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（11）_________________________________________</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3．合同有效期内，乙方自愿退出保障性住房时，须提前30日向甲方申请终止本合同，双方据实进行相关费用的结算。</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4．因城市建设需要拆迁保障性住房的，按国家和省、市有关法规执行。</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5．本合同终止或解除后，乙方应在30日内腾空该房屋，并通知甲方验房。甲方应在收到预约验房通知后7日内，安排时间与乙方共同验房。经检查发现该房屋及附属设施、设备有损坏或丢失的，其维修费用从乙方的押金中扣除，不足部分由乙方承担。乙方应在验房结束后5日内结清租赁期间所产生的租金、水、电、有线（数字）电视、煤气、物业管理、垃圾清运等费用。甲方验收合格后为乙方办理退房手续。</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6．乙方在腾退房屋时，对经甲方同意，已形成附合的装饰装修物不得拆除，无偿归甲方；对未形成附合或未经甲方同意擅自添加的装饰装修物，由乙方负责拆除，因拆除造成房屋毁损的，乙方应负责恢复原状。乙方逾期不移除或拆除的房屋内物品，视为遗弃物，甲方有权处理。</w:t>
      </w:r>
    </w:p>
    <w:p>
      <w:pPr>
        <w:widowControl/>
        <w:shd w:val="clear" w:color="auto" w:fill="FFFFFF" w:themeFill="background1"/>
        <w:spacing w:before="75" w:line="360" w:lineRule="auto"/>
        <w:ind w:firstLine="420"/>
        <w:jc w:val="left"/>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七、违约责任</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1．租赁期间，乙方未按本合同规定的期限向甲方足额缴纳租金，每逾期__________，乙方应向甲方支付违约金______元。</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2．本合同解除或终止后，乙方未按规定的期限退房，每逾期一日，乙方应向甲方支付违约金_____元。</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3．乙方违反有关法律法规规定、住房保障政策规定及本合同有关约定，且不腾空退还房屋的，视房屋内物品为遗弃物，甲方有权单方收回房屋并清点、腾空乙方在房内的物品。</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4．乙方未征得甲方书面同意擅自拆改房屋结构、装修或改动房屋设施的，甲方有权责令乙方恢复原状，同时，乙方应向甲方缴纳违约金_____元/次。</w:t>
      </w:r>
    </w:p>
    <w:p>
      <w:pPr>
        <w:widowControl/>
        <w:shd w:val="clear" w:color="auto" w:fill="FFFFFF" w:themeFill="background1"/>
        <w:spacing w:before="75" w:line="360" w:lineRule="auto"/>
        <w:ind w:firstLine="420"/>
        <w:jc w:val="left"/>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八、其他条款</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1．乙方承诺：本合同中填写的名称、联系方式、证件信息准确无误，为与甲方联系的唯一方式。联系方式如有变更，乙方应书面通知甲方。甲方依据上述联系方式向乙方发送的各项通知，发出即视为送达。</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2．本合同在履行过程中发生的争议，由甲乙双方当事人协商解决；协商不成的，甲乙双方可向有管辖权的人民法院提起诉讼。</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3．甲、乙双方按本合同约定享有权利和承担义务，如遇国家或地方政府法规政策调整，本合同与之有抵触的部分，以调整后的法规政策为准。</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4．租赁期间，如因战争、地震、洪水等不可抗力原因造成保障房及其附属设施严重损坏无法使用的，本合同自行终止，造成的经济损失，双方互不承担责任。</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5．本合同一式两份，甲、乙双方各执一份。本合同自甲、乙双方签名盖章后生效。</w:t>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6．其他约定事项：</w:t>
      </w:r>
    </w:p>
    <w:p>
      <w:pPr>
        <w:widowControl/>
        <w:shd w:val="clear" w:color="auto" w:fill="FFFFFF" w:themeFill="background1"/>
        <w:spacing w:before="75" w:after="312" w:afterLines="100"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______________________________________________________________</w:t>
      </w:r>
    </w:p>
    <w:tbl>
      <w:tblPr>
        <w:tblStyle w:val="23"/>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5"/>
        <w:gridCol w:w="4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75" w:type="dxa"/>
          </w:tcPr>
          <w:p>
            <w:pPr>
              <w:widowControl/>
              <w:spacing w:before="75" w:line="360" w:lineRule="auto"/>
              <w:jc w:val="left"/>
              <w:rPr>
                <w:rFonts w:ascii="宋体" w:hAnsi="宋体" w:eastAsia="宋体" w:cs="宋体"/>
                <w:color w:val="000000" w:themeColor="text1"/>
                <w:kern w:val="0"/>
                <w:sz w:val="24"/>
                <w:szCs w:val="24"/>
                <w:lang w:bidi="ar"/>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甲方（盖章）：_____________________</w:t>
            </w:r>
          </w:p>
        </w:tc>
        <w:tc>
          <w:tcPr>
            <w:tcW w:w="4331" w:type="dxa"/>
          </w:tcPr>
          <w:p>
            <w:pPr>
              <w:widowControl/>
              <w:spacing w:before="75" w:line="360" w:lineRule="auto"/>
              <w:jc w:val="left"/>
              <w:rPr>
                <w:rFonts w:ascii="宋体" w:hAnsi="宋体" w:eastAsia="宋体" w:cs="Helvetica Neue"/>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乙方（签名签章）：_________________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75" w:type="dxa"/>
          </w:tcPr>
          <w:p>
            <w:pPr>
              <w:widowControl/>
              <w:spacing w:before="75" w:line="360" w:lineRule="auto"/>
              <w:jc w:val="left"/>
              <w:rPr>
                <w:rFonts w:ascii="宋体" w:hAnsi="宋体" w:eastAsia="宋体" w:cs="宋体"/>
                <w:color w:val="000000" w:themeColor="text1"/>
                <w:kern w:val="0"/>
                <w:sz w:val="24"/>
                <w:szCs w:val="24"/>
                <w:lang w:bidi="ar"/>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经办人：_______________________</w:t>
            </w:r>
          </w:p>
        </w:tc>
        <w:tc>
          <w:tcPr>
            <w:tcW w:w="4331" w:type="dxa"/>
          </w:tcPr>
          <w:p>
            <w:pPr>
              <w:widowControl/>
              <w:spacing w:before="75" w:line="360" w:lineRule="auto"/>
              <w:jc w:val="left"/>
              <w:rPr>
                <w:rFonts w:ascii="宋体" w:hAnsi="宋体" w:eastAsia="宋体" w:cs="Helvetica Neue"/>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身份证号码：_______________________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75" w:type="dxa"/>
          </w:tcPr>
          <w:p>
            <w:pPr>
              <w:widowControl/>
              <w:spacing w:before="75" w:line="360" w:lineRule="auto"/>
              <w:jc w:val="left"/>
              <w:rPr>
                <w:rFonts w:ascii="宋体" w:hAnsi="宋体" w:eastAsia="宋体" w:cs="宋体"/>
                <w:color w:val="000000" w:themeColor="text1"/>
                <w:kern w:val="0"/>
                <w:sz w:val="24"/>
                <w:szCs w:val="24"/>
                <w:lang w:bidi="ar"/>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联系电话：____________________</w:t>
            </w:r>
          </w:p>
        </w:tc>
        <w:tc>
          <w:tcPr>
            <w:tcW w:w="4331" w:type="dxa"/>
          </w:tcPr>
          <w:p>
            <w:pPr>
              <w:widowControl/>
              <w:spacing w:before="75" w:line="360" w:lineRule="auto"/>
              <w:jc w:val="left"/>
              <w:rPr>
                <w:rFonts w:ascii="宋体" w:hAnsi="宋体" w:eastAsia="宋体" w:cs="Helvetica Neue"/>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联系电话：_________________________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75" w:type="dxa"/>
          </w:tcPr>
          <w:p>
            <w:pPr>
              <w:widowControl/>
              <w:spacing w:before="75" w:line="360" w:lineRule="auto"/>
              <w:jc w:val="left"/>
              <w:rPr>
                <w:rFonts w:ascii="宋体" w:hAnsi="宋体" w:eastAsia="宋体" w:cs="宋体"/>
                <w:color w:val="000000" w:themeColor="text1"/>
                <w:kern w:val="0"/>
                <w:sz w:val="24"/>
                <w:szCs w:val="24"/>
                <w:lang w:bidi="ar"/>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紧急联系人：___________________</w:t>
            </w:r>
          </w:p>
        </w:tc>
        <w:tc>
          <w:tcPr>
            <w:tcW w:w="4331" w:type="dxa"/>
          </w:tcPr>
          <w:p>
            <w:pPr>
              <w:widowControl/>
              <w:spacing w:before="75" w:line="360" w:lineRule="auto"/>
              <w:jc w:val="left"/>
              <w:rPr>
                <w:rFonts w:ascii="宋体" w:hAnsi="宋体" w:eastAsia="宋体" w:cs="Helvetica Neue"/>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紧急联系人：_______________________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975" w:type="dxa"/>
          </w:tcPr>
          <w:p>
            <w:pPr>
              <w:widowControl/>
              <w:spacing w:before="75" w:line="360" w:lineRule="auto"/>
              <w:jc w:val="left"/>
              <w:rPr>
                <w:rFonts w:ascii="宋体" w:hAnsi="宋体" w:eastAsia="宋体" w:cs="宋体"/>
                <w:color w:val="000000" w:themeColor="text1"/>
                <w:kern w:val="0"/>
                <w:sz w:val="24"/>
                <w:szCs w:val="24"/>
                <w:lang w:bidi="ar"/>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联系电话：____________________</w:t>
            </w:r>
          </w:p>
        </w:tc>
        <w:tc>
          <w:tcPr>
            <w:tcW w:w="4331" w:type="dxa"/>
          </w:tcPr>
          <w:p>
            <w:pPr>
              <w:widowControl/>
              <w:spacing w:before="75" w:line="360" w:lineRule="auto"/>
              <w:jc w:val="left"/>
              <w:rPr>
                <w:rFonts w:ascii="宋体" w:hAnsi="宋体" w:eastAsia="宋体" w:cs="Helvetica Neue"/>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联系电话：_________________________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306" w:type="dxa"/>
            <w:gridSpan w:val="2"/>
          </w:tcPr>
          <w:p>
            <w:pPr>
              <w:widowControl/>
              <w:spacing w:before="75" w:line="360" w:lineRule="auto"/>
              <w:jc w:val="left"/>
              <w:rPr>
                <w:rFonts w:ascii="宋体" w:hAnsi="宋体" w:eastAsia="宋体" w:cs="Helvetica Neue"/>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bidi="ar"/>
                <w14:textFill>
                  <w14:solidFill>
                    <w14:schemeClr w14:val="tx1"/>
                  </w14:solidFill>
                </w14:textFill>
              </w:rPr>
              <w:t>合同订立日期：__________________</w:t>
            </w:r>
          </w:p>
        </w:tc>
      </w:tr>
    </w:tbl>
    <w:p>
      <w:pPr>
        <w:widowControl/>
        <w:shd w:val="clear" w:color="auto" w:fill="FFFFFF" w:themeFill="background1"/>
        <w:spacing w:before="480" w:line="360" w:lineRule="auto"/>
        <w:jc w:val="left"/>
        <w:rPr>
          <w:rFonts w:ascii="宋体" w:hAnsi="宋体" w:eastAsia="宋体" w:cs="宋体"/>
          <w:color w:val="000000" w:themeColor="text1"/>
          <w:kern w:val="0"/>
          <w:sz w:val="24"/>
          <w:lang w:bidi="ar"/>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附件：1．房屋附属设施设备点交保管清单</w:t>
      </w:r>
    </w:p>
    <w:p>
      <w:pPr>
        <w:widowControl/>
        <w:shd w:val="clear" w:color="auto" w:fill="FFFFFF" w:themeFill="background1"/>
        <w:spacing w:before="75" w:line="360" w:lineRule="auto"/>
        <w:ind w:left="239" w:leftChars="114"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2．保障性住房租赁审核表</w:t>
      </w:r>
    </w:p>
    <w:p>
      <w:pPr>
        <w:widowControl/>
        <w:jc w:val="left"/>
        <w:rPr>
          <w:rFonts w:ascii="宋体" w:hAnsi="宋体" w:eastAsia="宋体" w:cs="宋体"/>
          <w:color w:val="000000" w:themeColor="text1"/>
          <w:kern w:val="0"/>
          <w:sz w:val="24"/>
          <w:lang w:bidi="ar"/>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br w:type="page"/>
      </w:r>
    </w:p>
    <w:p>
      <w:pPr>
        <w:widowControl/>
        <w:shd w:val="clear" w:color="auto" w:fill="FFFFFF" w:themeFill="background1"/>
        <w:spacing w:before="75" w:line="360" w:lineRule="auto"/>
        <w:ind w:firstLine="420"/>
        <w:jc w:val="left"/>
        <w:rPr>
          <w:rFonts w:ascii="宋体" w:hAnsi="宋体" w:eastAsia="宋体" w:cs="宋体"/>
          <w:color w:val="000000" w:themeColor="text1"/>
          <w:kern w:val="0"/>
          <w:sz w:val="24"/>
          <w:lang w:bidi="ar"/>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附件1：</w:t>
      </w:r>
    </w:p>
    <w:p>
      <w:pPr>
        <w:widowControl/>
        <w:shd w:val="clear" w:color="auto" w:fill="FFFFFF" w:themeFill="background1"/>
        <w:spacing w:before="75" w:line="360" w:lineRule="auto"/>
        <w:ind w:firstLine="420"/>
        <w:jc w:val="center"/>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房屋附属设施设备点交保管清单</w:t>
      </w:r>
    </w:p>
    <w:tbl>
      <w:tblPr>
        <w:tblStyle w:val="22"/>
        <w:tblpPr w:leftFromText="180" w:rightFromText="180" w:vertAnchor="text" w:horzAnchor="page" w:tblpXSpec="center" w:tblpY="315"/>
        <w:tblOverlap w:val="never"/>
        <w:tblW w:w="8286" w:type="dxa"/>
        <w:jc w:val="center"/>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
      <w:tblGrid>
        <w:gridCol w:w="2071"/>
        <w:gridCol w:w="2071"/>
        <w:gridCol w:w="2072"/>
        <w:gridCol w:w="2072"/>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设施设备名称</w:t>
            </w:r>
          </w:p>
        </w:tc>
        <w:tc>
          <w:tcPr>
            <w:tcW w:w="2071" w:type="dxa"/>
            <w:tcBorders>
              <w:top w:val="single" w:color="000000" w:sz="8" w:space="0"/>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数量</w:t>
            </w:r>
          </w:p>
        </w:tc>
        <w:tc>
          <w:tcPr>
            <w:tcW w:w="2072" w:type="dxa"/>
            <w:tcBorders>
              <w:top w:val="single" w:color="000000" w:sz="8" w:space="0"/>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完好状态</w:t>
            </w:r>
          </w:p>
        </w:tc>
        <w:tc>
          <w:tcPr>
            <w:tcW w:w="2072" w:type="dxa"/>
            <w:tcBorders>
              <w:top w:val="single" w:color="000000" w:sz="8" w:space="0"/>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维修负责方</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83" w:hRule="atLeast"/>
          <w:jc w:val="center"/>
        </w:trPr>
        <w:tc>
          <w:tcPr>
            <w:tcW w:w="2071"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1"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072"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r>
    </w:tbl>
    <w:p>
      <w:pPr>
        <w:widowControl/>
        <w:shd w:val="clear" w:color="auto" w:fill="FFFFFF" w:themeFill="background1"/>
        <w:spacing w:before="75" w:line="360" w:lineRule="auto"/>
        <w:jc w:val="left"/>
        <w:rPr>
          <w:rFonts w:ascii="宋体" w:hAnsi="宋体" w:eastAsia="宋体" w:cs="Helvetica Neue"/>
          <w:color w:val="000000" w:themeColor="text1"/>
          <w:sz w:val="24"/>
          <w14:textFill>
            <w14:solidFill>
              <w14:schemeClr w14:val="tx1"/>
            </w14:solidFill>
          </w14:textFill>
        </w:rPr>
      </w:pPr>
    </w:p>
    <w:p>
      <w:pPr>
        <w:widowControl/>
        <w:shd w:val="clear" w:color="auto" w:fill="FFFFFF" w:themeFill="background1"/>
        <w:spacing w:before="75" w:line="360" w:lineRule="auto"/>
        <w:ind w:firstLine="420"/>
        <w:jc w:val="righ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甲方确认签字(盖章)：___________</w:t>
      </w:r>
    </w:p>
    <w:p>
      <w:pPr>
        <w:widowControl/>
        <w:shd w:val="clear" w:color="auto" w:fill="FFFFFF" w:themeFill="background1"/>
        <w:spacing w:before="75" w:line="360" w:lineRule="auto"/>
        <w:ind w:firstLine="420"/>
        <w:jc w:val="righ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乙方确认签字(盖章)：___________</w:t>
      </w:r>
    </w:p>
    <w:p>
      <w:pPr>
        <w:widowControl/>
        <w:jc w:val="left"/>
        <w:rPr>
          <w:rFonts w:ascii="宋体" w:hAnsi="宋体" w:eastAsia="宋体" w:cs="宋体"/>
          <w:color w:val="000000" w:themeColor="text1"/>
          <w:kern w:val="0"/>
          <w:sz w:val="24"/>
          <w:lang w:bidi="ar"/>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br w:type="page"/>
      </w:r>
    </w:p>
    <w:p>
      <w:pPr>
        <w:widowControl/>
        <w:shd w:val="clear" w:color="auto" w:fill="FFFFFF" w:themeFill="background1"/>
        <w:spacing w:before="75" w:line="360" w:lineRule="auto"/>
        <w:ind w:firstLine="420"/>
        <w:jc w:val="left"/>
        <w:rPr>
          <w:rFonts w:ascii="宋体" w:hAnsi="宋体" w:eastAsia="宋体" w:cs="Helvetica Neue"/>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附件2：</w:t>
      </w:r>
    </w:p>
    <w:p>
      <w:pPr>
        <w:widowControl/>
        <w:shd w:val="clear" w:color="auto" w:fill="FFFFFF" w:themeFill="background1"/>
        <w:spacing w:before="75" w:line="360" w:lineRule="auto"/>
        <w:ind w:firstLine="420"/>
        <w:jc w:val="center"/>
        <w:rPr>
          <w:rFonts w:ascii="宋体" w:hAnsi="宋体" w:eastAsia="宋体" w:cs="Helvetica Neue"/>
          <w:b/>
          <w:color w:val="000000" w:themeColor="text1"/>
          <w:sz w:val="24"/>
          <w14:textFill>
            <w14:solidFill>
              <w14:schemeClr w14:val="tx1"/>
            </w14:solidFill>
          </w14:textFill>
        </w:rPr>
      </w:pPr>
      <w:r>
        <w:rPr>
          <w:rFonts w:hint="eastAsia" w:ascii="宋体" w:hAnsi="宋体" w:eastAsia="宋体" w:cs="宋体"/>
          <w:b/>
          <w:color w:val="000000" w:themeColor="text1"/>
          <w:kern w:val="0"/>
          <w:sz w:val="24"/>
          <w:lang w:bidi="ar"/>
          <w14:textFill>
            <w14:solidFill>
              <w14:schemeClr w14:val="tx1"/>
            </w14:solidFill>
          </w14:textFill>
        </w:rPr>
        <w:t>保障性住房租赁审核表</w:t>
      </w:r>
    </w:p>
    <w:tbl>
      <w:tblPr>
        <w:tblStyle w:val="22"/>
        <w:tblW w:w="8296" w:type="dxa"/>
        <w:jc w:val="center"/>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
      <w:tblGrid>
        <w:gridCol w:w="454"/>
        <w:gridCol w:w="7594"/>
        <w:gridCol w:w="248"/>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640" w:hRule="atLeast"/>
          <w:jc w:val="center"/>
        </w:trPr>
        <w:tc>
          <w:tcPr>
            <w:tcW w:w="45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保障类型</w:t>
            </w:r>
          </w:p>
        </w:tc>
        <w:tc>
          <w:tcPr>
            <w:tcW w:w="7594" w:type="dxa"/>
            <w:tcBorders>
              <w:top w:val="single" w:color="000000" w:sz="8" w:space="0"/>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               □</w:t>
            </w:r>
          </w:p>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               □</w:t>
            </w:r>
          </w:p>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               □</w:t>
            </w:r>
          </w:p>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               □</w:t>
            </w: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0" w:hRule="atLeast"/>
          <w:jc w:val="center"/>
        </w:trPr>
        <w:tc>
          <w:tcPr>
            <w:tcW w:w="454" w:type="dxa"/>
            <w:vMerge w:val="restart"/>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保障情况</w:t>
            </w:r>
          </w:p>
        </w:tc>
        <w:tc>
          <w:tcPr>
            <w:tcW w:w="7594"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保障面积      ㎡</w:t>
            </w: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0" w:hRule="atLeast"/>
          <w:jc w:val="center"/>
        </w:trPr>
        <w:tc>
          <w:tcPr>
            <w:tcW w:w="454" w:type="dxa"/>
            <w:vMerge w:val="continue"/>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shd w:val="clear" w:color="auto" w:fill="FFFFFF" w:themeFill="background1"/>
              <w:spacing w:line="360" w:lineRule="auto"/>
              <w:rPr>
                <w:rFonts w:ascii="宋体" w:hAnsi="宋体" w:eastAsia="宋体"/>
                <w:color w:val="000000" w:themeColor="text1"/>
                <w:sz w:val="24"/>
                <w14:textFill>
                  <w14:solidFill>
                    <w14:schemeClr w14:val="tx1"/>
                  </w14:solidFill>
                </w14:textFill>
              </w:rPr>
            </w:pPr>
          </w:p>
        </w:tc>
        <w:tc>
          <w:tcPr>
            <w:tcW w:w="7594"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保障外面积      ㎡</w:t>
            </w: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24" w:hRule="atLeast"/>
          <w:jc w:val="center"/>
        </w:trPr>
        <w:tc>
          <w:tcPr>
            <w:tcW w:w="454" w:type="dxa"/>
            <w:vMerge w:val="restart"/>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租金标准</w:t>
            </w:r>
          </w:p>
        </w:tc>
        <w:tc>
          <w:tcPr>
            <w:tcW w:w="7594" w:type="dxa"/>
            <w:vMerge w:val="restart"/>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24" w:hRule="atLeast"/>
          <w:jc w:val="center"/>
        </w:trPr>
        <w:tc>
          <w:tcPr>
            <w:tcW w:w="454" w:type="dxa"/>
            <w:vMerge w:val="continue"/>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shd w:val="clear" w:color="auto" w:fill="FFFFFF" w:themeFill="background1"/>
              <w:spacing w:line="360" w:lineRule="auto"/>
              <w:rPr>
                <w:rFonts w:ascii="宋体" w:hAnsi="宋体" w:eastAsia="宋体"/>
                <w:color w:val="000000" w:themeColor="text1"/>
                <w:sz w:val="24"/>
                <w14:textFill>
                  <w14:solidFill>
                    <w14:schemeClr w14:val="tx1"/>
                  </w14:solidFill>
                </w14:textFill>
              </w:rPr>
            </w:pPr>
          </w:p>
        </w:tc>
        <w:tc>
          <w:tcPr>
            <w:tcW w:w="7594" w:type="dxa"/>
            <w:vMerge w:val="continue"/>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shd w:val="clear" w:color="auto" w:fill="FFFFFF" w:themeFill="background1"/>
              <w:spacing w:line="360" w:lineRule="auto"/>
              <w:rPr>
                <w:rFonts w:ascii="宋体" w:hAnsi="宋体" w:eastAsia="宋体"/>
                <w:color w:val="000000" w:themeColor="text1"/>
                <w:sz w:val="24"/>
                <w14:textFill>
                  <w14:solidFill>
                    <w14:schemeClr w14:val="tx1"/>
                  </w14:solidFill>
                </w14:textFill>
              </w:rPr>
            </w:pP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0" w:hRule="atLeast"/>
          <w:jc w:val="center"/>
        </w:trPr>
        <w:tc>
          <w:tcPr>
            <w:tcW w:w="454"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起租时间</w:t>
            </w:r>
          </w:p>
        </w:tc>
        <w:tc>
          <w:tcPr>
            <w:tcW w:w="7594"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年   月   日</w:t>
            </w: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0" w:hRule="atLeast"/>
          <w:jc w:val="center"/>
        </w:trPr>
        <w:tc>
          <w:tcPr>
            <w:tcW w:w="454" w:type="dxa"/>
            <w:vMerge w:val="restart"/>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审核部门盖章</w:t>
            </w:r>
          </w:p>
        </w:tc>
        <w:tc>
          <w:tcPr>
            <w:tcW w:w="7594"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□租赁期限到期审核      □保障类型变化     □家庭人口数变化</w:t>
            </w: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0" w:hRule="atLeast"/>
          <w:jc w:val="center"/>
        </w:trPr>
        <w:tc>
          <w:tcPr>
            <w:tcW w:w="454" w:type="dxa"/>
            <w:vMerge w:val="continue"/>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shd w:val="clear" w:color="auto" w:fill="FFFFFF" w:themeFill="background1"/>
              <w:spacing w:line="360" w:lineRule="auto"/>
              <w:rPr>
                <w:rFonts w:ascii="宋体" w:hAnsi="宋体" w:eastAsia="宋体"/>
                <w:color w:val="000000" w:themeColor="text1"/>
                <w:sz w:val="24"/>
                <w14:textFill>
                  <w14:solidFill>
                    <w14:schemeClr w14:val="tx1"/>
                  </w14:solidFill>
                </w14:textFill>
              </w:rPr>
            </w:pPr>
          </w:p>
        </w:tc>
        <w:tc>
          <w:tcPr>
            <w:tcW w:w="7594"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ind w:firstLine="3150"/>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 </w:t>
            </w: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0" w:hRule="atLeast"/>
          <w:jc w:val="center"/>
        </w:trPr>
        <w:tc>
          <w:tcPr>
            <w:tcW w:w="454" w:type="dxa"/>
            <w:vMerge w:val="continue"/>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shd w:val="clear" w:color="auto" w:fill="FFFFFF" w:themeFill="background1"/>
              <w:spacing w:line="360" w:lineRule="auto"/>
              <w:rPr>
                <w:rFonts w:ascii="宋体" w:hAnsi="宋体" w:eastAsia="宋体"/>
                <w:color w:val="000000" w:themeColor="text1"/>
                <w:sz w:val="24"/>
                <w14:textFill>
                  <w14:solidFill>
                    <w14:schemeClr w14:val="tx1"/>
                  </w14:solidFill>
                </w14:textFill>
              </w:rPr>
            </w:pPr>
          </w:p>
        </w:tc>
        <w:tc>
          <w:tcPr>
            <w:tcW w:w="7594"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ind w:firstLine="3150"/>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年    月     日</w:t>
            </w: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20" w:hRule="atLeast"/>
          <w:jc w:val="center"/>
        </w:trPr>
        <w:tc>
          <w:tcPr>
            <w:tcW w:w="454" w:type="dxa"/>
            <w:tcBorders>
              <w:top w:val="nil"/>
              <w:left w:val="single" w:color="000000" w:sz="8" w:space="0"/>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jc w:val="center"/>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保障对象确认签章</w:t>
            </w:r>
          </w:p>
        </w:tc>
        <w:tc>
          <w:tcPr>
            <w:tcW w:w="7594" w:type="dxa"/>
            <w:tcBorders>
              <w:top w:val="nil"/>
              <w:left w:val="nil"/>
              <w:bottom w:val="single" w:color="000000" w:sz="8" w:space="0"/>
              <w:right w:val="single" w:color="000000" w:sz="8" w:space="0"/>
            </w:tcBorders>
            <w:shd w:val="clear" w:color="auto" w:fill="auto"/>
            <w:tcMar>
              <w:top w:w="15" w:type="dxa"/>
              <w:left w:w="108" w:type="dxa"/>
              <w:bottom w:w="15" w:type="dxa"/>
              <w:right w:w="108" w:type="dxa"/>
            </w:tcMar>
            <w:vAlign w:val="center"/>
          </w:tcPr>
          <w:p>
            <w:pPr>
              <w:widowControl/>
              <w:shd w:val="clear" w:color="auto" w:fill="FFFFFF" w:themeFill="background1"/>
              <w:spacing w:line="360" w:lineRule="auto"/>
              <w:ind w:firstLine="3150"/>
              <w:jc w:val="left"/>
              <w:rPr>
                <w:rFonts w:ascii="宋体" w:hAnsi="宋体" w:eastAsia="宋体"/>
                <w:color w:val="000000" w:themeColor="text1"/>
                <w:sz w:val="24"/>
                <w14:textFill>
                  <w14:solidFill>
                    <w14:schemeClr w14:val="tx1"/>
                  </w14:solidFill>
                </w14:textFill>
              </w:rPr>
            </w:pPr>
            <w:r>
              <w:rPr>
                <w:rFonts w:hint="eastAsia" w:ascii="宋体" w:hAnsi="宋体" w:eastAsia="宋体" w:cs="宋体"/>
                <w:color w:val="000000" w:themeColor="text1"/>
                <w:kern w:val="0"/>
                <w:sz w:val="24"/>
                <w:lang w:bidi="ar"/>
                <w14:textFill>
                  <w14:solidFill>
                    <w14:schemeClr w14:val="tx1"/>
                  </w14:solidFill>
                </w14:textFill>
              </w:rPr>
              <w:t>年    月     日</w:t>
            </w:r>
          </w:p>
        </w:tc>
        <w:tc>
          <w:tcPr>
            <w:tcW w:w="248" w:type="dxa"/>
            <w:tcBorders>
              <w:top w:val="nil"/>
              <w:left w:val="nil"/>
              <w:bottom w:val="nil"/>
              <w:right w:val="nil"/>
            </w:tcBorders>
            <w:shd w:val="clear" w:color="auto" w:fill="auto"/>
            <w:vAlign w:val="center"/>
          </w:tcPr>
          <w:p>
            <w:pPr>
              <w:widowControl/>
              <w:shd w:val="clear" w:color="auto" w:fill="FFFFFF" w:themeFill="background1"/>
              <w:spacing w:line="360" w:lineRule="auto"/>
              <w:jc w:val="left"/>
              <w:rPr>
                <w:rFonts w:ascii="宋体" w:hAnsi="宋体" w:eastAsia="宋体"/>
                <w:color w:val="000000" w:themeColor="text1"/>
                <w:sz w:val="24"/>
                <w14:textFill>
                  <w14:solidFill>
                    <w14:schemeClr w14:val="tx1"/>
                  </w14:solidFill>
                </w14:textFill>
              </w:rPr>
            </w:pPr>
            <w:r>
              <w:rPr>
                <w:rFonts w:ascii="宋体" w:hAnsi="宋体" w:eastAsia="宋体" w:cs="宋体"/>
                <w:color w:val="000000" w:themeColor="text1"/>
                <w:kern w:val="0"/>
                <w:sz w:val="24"/>
                <w:lang w:bidi="ar"/>
                <w14:textFill>
                  <w14:solidFill>
                    <w14:schemeClr w14:val="tx1"/>
                  </w14:solidFill>
                </w14:textFill>
              </w:rPr>
              <w:t> </w:t>
            </w:r>
          </w:p>
        </w:tc>
      </w:tr>
    </w:tbl>
    <w:p>
      <w:pPr>
        <w:shd w:val="clear" w:color="auto" w:fill="FFFFFF" w:themeFill="background1"/>
        <w:spacing w:line="360" w:lineRule="auto"/>
        <w:rPr>
          <w:rFonts w:ascii="宋体" w:hAnsi="宋体" w:eastAsia="宋体"/>
          <w:color w:val="000000" w:themeColor="text1"/>
          <w:sz w:val="24"/>
          <w14:textFill>
            <w14:solidFill>
              <w14:schemeClr w14:val="tx1"/>
            </w14:solidFill>
          </w14:textFill>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仿宋_GB2312">
    <w:altName w:val="汉仪仿宋KW"/>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Helvetica Neue">
    <w:altName w:val="Arial"/>
    <w:panose1 w:val="00000000000000000000"/>
    <w:charset w:val="00"/>
    <w:family w:val="swiss"/>
    <w:pitch w:val="default"/>
    <w:sig w:usb0="00000000" w:usb1="00000000" w:usb2="00000010" w:usb3="00000000" w:csb0="00000001"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5DA"/>
    <w:rsid w:val="000244F5"/>
    <w:rsid w:val="00037D3D"/>
    <w:rsid w:val="00067E54"/>
    <w:rsid w:val="00095637"/>
    <w:rsid w:val="000A757B"/>
    <w:rsid w:val="000B1695"/>
    <w:rsid w:val="000C7FB7"/>
    <w:rsid w:val="00110BE5"/>
    <w:rsid w:val="001120E9"/>
    <w:rsid w:val="00120849"/>
    <w:rsid w:val="0018278D"/>
    <w:rsid w:val="002E0564"/>
    <w:rsid w:val="00310667"/>
    <w:rsid w:val="00376070"/>
    <w:rsid w:val="003860DF"/>
    <w:rsid w:val="0039248A"/>
    <w:rsid w:val="003A673C"/>
    <w:rsid w:val="003C05DA"/>
    <w:rsid w:val="003D4152"/>
    <w:rsid w:val="00435556"/>
    <w:rsid w:val="004B585D"/>
    <w:rsid w:val="004C5002"/>
    <w:rsid w:val="004E2141"/>
    <w:rsid w:val="00502E79"/>
    <w:rsid w:val="005902A0"/>
    <w:rsid w:val="00591246"/>
    <w:rsid w:val="00671BF4"/>
    <w:rsid w:val="0067657F"/>
    <w:rsid w:val="006E079C"/>
    <w:rsid w:val="00714E68"/>
    <w:rsid w:val="00725B13"/>
    <w:rsid w:val="007E2D16"/>
    <w:rsid w:val="00822A46"/>
    <w:rsid w:val="00853A99"/>
    <w:rsid w:val="008D0600"/>
    <w:rsid w:val="00A239A3"/>
    <w:rsid w:val="00AA19F7"/>
    <w:rsid w:val="00AC3DF6"/>
    <w:rsid w:val="00B108A4"/>
    <w:rsid w:val="00B24B93"/>
    <w:rsid w:val="00B9291A"/>
    <w:rsid w:val="00BC3FFD"/>
    <w:rsid w:val="00BF4C1B"/>
    <w:rsid w:val="00C27422"/>
    <w:rsid w:val="00C33656"/>
    <w:rsid w:val="00C73084"/>
    <w:rsid w:val="00CB012C"/>
    <w:rsid w:val="00CE6C4F"/>
    <w:rsid w:val="00D02DE1"/>
    <w:rsid w:val="00D43CC4"/>
    <w:rsid w:val="00D5145C"/>
    <w:rsid w:val="00DD0E5A"/>
    <w:rsid w:val="00E620B0"/>
    <w:rsid w:val="00E8418F"/>
    <w:rsid w:val="00EF50FC"/>
    <w:rsid w:val="00F356E1"/>
    <w:rsid w:val="00F75DC8"/>
    <w:rsid w:val="00F84564"/>
    <w:rsid w:val="00F869C3"/>
    <w:rsid w:val="00FF6CB0"/>
    <w:rsid w:val="CFF7AFCA"/>
    <w:rsid w:val="FDFBCF1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4"/>
    <w:qFormat/>
    <w:uiPriority w:val="0"/>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0"/>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2"/>
    <w:qFormat/>
    <w:uiPriority w:val="0"/>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24">
    <w:name w:val="Default Paragraph Font"/>
    <w:semiHidden/>
    <w:unhideWhenUsed/>
    <w:uiPriority w:val="1"/>
  </w:style>
  <w:style w:type="table" w:default="1" w:styleId="22">
    <w:name w:val="Normal Table"/>
    <w:semiHidden/>
    <w:unhideWhenUsed/>
    <w:uiPriority w:val="99"/>
    <w:tblPr>
      <w:tblLayout w:type="fixed"/>
      <w:tblCellMar>
        <w:top w:w="0" w:type="dxa"/>
        <w:left w:w="108" w:type="dxa"/>
        <w:bottom w:w="0" w:type="dxa"/>
        <w:right w:w="108" w:type="dxa"/>
      </w:tblCellMar>
    </w:tblPr>
  </w:style>
  <w:style w:type="paragraph" w:styleId="6">
    <w:name w:val="Document Map"/>
    <w:basedOn w:val="1"/>
    <w:link w:val="49"/>
    <w:uiPriority w:val="0"/>
    <w:rPr>
      <w:rFonts w:ascii="宋体" w:hAnsi="Times New Roman" w:eastAsia="宋体" w:cs="Times New Roman"/>
      <w:sz w:val="18"/>
      <w:szCs w:val="18"/>
      <w:lang w:val="zh-CN" w:eastAsia="zh-CN"/>
    </w:rPr>
  </w:style>
  <w:style w:type="paragraph" w:styleId="7">
    <w:name w:val="annotation text"/>
    <w:basedOn w:val="1"/>
    <w:link w:val="40"/>
    <w:uiPriority w:val="0"/>
    <w:pPr>
      <w:jc w:val="left"/>
    </w:pPr>
    <w:rPr>
      <w:rFonts w:ascii="Times New Roman" w:hAnsi="Times New Roman" w:eastAsia="宋体" w:cs="Times New Roman"/>
      <w:szCs w:val="24"/>
    </w:rPr>
  </w:style>
  <w:style w:type="paragraph" w:styleId="8">
    <w:name w:val="Body Text"/>
    <w:basedOn w:val="1"/>
    <w:link w:val="38"/>
    <w:uiPriority w:val="0"/>
    <w:pPr>
      <w:spacing w:after="120"/>
    </w:pPr>
    <w:rPr>
      <w:rFonts w:ascii="Times New Roman" w:hAnsi="Times New Roman" w:eastAsia="宋体" w:cs="Times New Roman"/>
      <w:szCs w:val="24"/>
    </w:rPr>
  </w:style>
  <w:style w:type="paragraph" w:styleId="9">
    <w:name w:val="Body Text Indent"/>
    <w:basedOn w:val="1"/>
    <w:link w:val="56"/>
    <w:uiPriority w:val="0"/>
    <w:pPr>
      <w:spacing w:line="600" w:lineRule="exact"/>
      <w:ind w:firstLine="784" w:firstLineChars="245"/>
    </w:pPr>
    <w:rPr>
      <w:rFonts w:ascii="仿宋_GB2312" w:hAnsi="宋体" w:eastAsia="仿宋_GB2312" w:cs="Times New Roman"/>
      <w:sz w:val="32"/>
      <w:szCs w:val="28"/>
    </w:rPr>
  </w:style>
  <w:style w:type="paragraph" w:styleId="10">
    <w:name w:val="Plain Text"/>
    <w:basedOn w:val="1"/>
    <w:link w:val="63"/>
    <w:uiPriority w:val="0"/>
    <w:rPr>
      <w:rFonts w:ascii="宋体" w:hAnsi="Courier New" w:eastAsia="宋体" w:cs="Courier New"/>
      <w:szCs w:val="21"/>
    </w:rPr>
  </w:style>
  <w:style w:type="paragraph" w:styleId="11">
    <w:name w:val="Date"/>
    <w:basedOn w:val="1"/>
    <w:next w:val="1"/>
    <w:link w:val="42"/>
    <w:uiPriority w:val="0"/>
    <w:pPr>
      <w:ind w:left="2500" w:leftChars="2500"/>
    </w:pPr>
    <w:rPr>
      <w:rFonts w:ascii="Times New Roman" w:hAnsi="Times New Roman" w:eastAsia="宋体" w:cs="Times New Roman"/>
      <w:szCs w:val="24"/>
      <w:lang w:val="zh-CN" w:eastAsia="zh-CN"/>
    </w:rPr>
  </w:style>
  <w:style w:type="paragraph" w:styleId="12">
    <w:name w:val="Body Text Indent 2"/>
    <w:basedOn w:val="1"/>
    <w:link w:val="57"/>
    <w:uiPriority w:val="0"/>
    <w:pPr>
      <w:spacing w:line="600" w:lineRule="exact"/>
      <w:ind w:firstLine="685" w:firstLineChars="214"/>
    </w:pPr>
    <w:rPr>
      <w:rFonts w:ascii="仿宋_GB2312" w:hAnsi="宋体" w:eastAsia="仿宋_GB2312" w:cs="Times New Roman"/>
      <w:sz w:val="32"/>
      <w:szCs w:val="28"/>
    </w:rPr>
  </w:style>
  <w:style w:type="paragraph" w:styleId="13">
    <w:name w:val="Balloon Text"/>
    <w:basedOn w:val="1"/>
    <w:link w:val="43"/>
    <w:uiPriority w:val="0"/>
    <w:rPr>
      <w:rFonts w:ascii="Times New Roman" w:hAnsi="Times New Roman" w:eastAsia="宋体" w:cs="Times New Roman"/>
      <w:sz w:val="18"/>
      <w:szCs w:val="18"/>
      <w:lang w:val="zh-CN" w:eastAsia="zh-CN"/>
    </w:rPr>
  </w:style>
  <w:style w:type="paragraph" w:styleId="14">
    <w:name w:val="footer"/>
    <w:basedOn w:val="1"/>
    <w:link w:val="31"/>
    <w:uiPriority w:val="99"/>
    <w:pPr>
      <w:tabs>
        <w:tab w:val="center" w:pos="4153"/>
        <w:tab w:val="right" w:pos="8306"/>
      </w:tabs>
      <w:snapToGrid w:val="0"/>
      <w:jc w:val="left"/>
    </w:pPr>
    <w:rPr>
      <w:rFonts w:ascii="Times New Roman" w:hAnsi="Times New Roman" w:eastAsia="宋体" w:cs="Times New Roman"/>
      <w:sz w:val="18"/>
      <w:szCs w:val="18"/>
    </w:rPr>
  </w:style>
  <w:style w:type="paragraph" w:styleId="15">
    <w:name w:val="header"/>
    <w:basedOn w:val="1"/>
    <w:link w:val="33"/>
    <w:unhideWhenUsed/>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0"/>
    <w:pPr>
      <w:tabs>
        <w:tab w:val="right" w:leader="dot" w:pos="8296"/>
      </w:tabs>
      <w:spacing w:line="480" w:lineRule="auto"/>
      <w:jc w:val="center"/>
    </w:pPr>
    <w:rPr>
      <w:rFonts w:ascii="Times New Roman" w:hAnsi="Times New Roman" w:eastAsia="宋体" w:cs="Times New Roman"/>
      <w:b/>
      <w:sz w:val="32"/>
      <w:szCs w:val="32"/>
    </w:rPr>
  </w:style>
  <w:style w:type="paragraph" w:styleId="17">
    <w:name w:val="Body Text Indent 3"/>
    <w:basedOn w:val="1"/>
    <w:link w:val="62"/>
    <w:uiPriority w:val="0"/>
    <w:pPr>
      <w:ind w:left="-6" w:leftChars="-9" w:hanging="12" w:hangingChars="6"/>
      <w:jc w:val="left"/>
    </w:pPr>
    <w:rPr>
      <w:rFonts w:ascii="仿宋_GB2312" w:hAnsi="宋体" w:eastAsia="仿宋_GB2312" w:cs="Times New Roman"/>
      <w:b/>
      <w:sz w:val="30"/>
      <w:szCs w:val="20"/>
    </w:rPr>
  </w:style>
  <w:style w:type="paragraph" w:styleId="18">
    <w:name w:val="Normal (Web)"/>
    <w:basedOn w:val="1"/>
    <w:uiPriority w:val="0"/>
    <w:pPr>
      <w:widowControl/>
      <w:spacing w:before="100" w:beforeAutospacing="1" w:after="100" w:afterAutospacing="1"/>
      <w:jc w:val="left"/>
    </w:pPr>
    <w:rPr>
      <w:rFonts w:ascii="宋体" w:hAnsi="Times New Roman" w:eastAsia="宋体" w:cs="宋体"/>
      <w:kern w:val="0"/>
      <w:sz w:val="24"/>
      <w:szCs w:val="24"/>
    </w:rPr>
  </w:style>
  <w:style w:type="paragraph" w:styleId="19">
    <w:name w:val="Title"/>
    <w:basedOn w:val="1"/>
    <w:next w:val="1"/>
    <w:link w:val="51"/>
    <w:qFormat/>
    <w:uiPriority w:val="0"/>
    <w:pPr>
      <w:spacing w:before="240" w:after="60"/>
      <w:jc w:val="center"/>
      <w:outlineLvl w:val="0"/>
    </w:pPr>
    <w:rPr>
      <w:rFonts w:ascii="Cambria" w:hAnsi="Cambria" w:eastAsia="宋体" w:cs="Times New Roman"/>
      <w:b/>
      <w:bCs/>
      <w:sz w:val="32"/>
      <w:szCs w:val="32"/>
    </w:rPr>
  </w:style>
  <w:style w:type="paragraph" w:styleId="20">
    <w:name w:val="annotation subject"/>
    <w:basedOn w:val="7"/>
    <w:next w:val="7"/>
    <w:link w:val="48"/>
    <w:uiPriority w:val="0"/>
    <w:rPr>
      <w:b/>
      <w:bCs/>
      <w:lang w:val="zh-CN" w:eastAsia="zh-CN"/>
    </w:rPr>
  </w:style>
  <w:style w:type="paragraph" w:styleId="21">
    <w:name w:val="Body Text First Indent"/>
    <w:basedOn w:val="8"/>
    <w:link w:val="39"/>
    <w:uiPriority w:val="0"/>
    <w:pPr>
      <w:spacing w:after="60" w:line="360" w:lineRule="auto"/>
      <w:ind w:firstLine="200" w:firstLineChars="200"/>
    </w:pPr>
    <w:rPr>
      <w:rFonts w:ascii="Arial" w:hAnsi="Arial"/>
      <w:szCs w:val="21"/>
    </w:rPr>
  </w:style>
  <w:style w:type="table" w:styleId="23">
    <w:name w:val="Table Grid"/>
    <w:basedOn w:val="22"/>
    <w:uiPriority w:val="0"/>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5">
    <w:name w:val="Strong"/>
    <w:qFormat/>
    <w:uiPriority w:val="0"/>
    <w:rPr>
      <w:b/>
      <w:bCs/>
    </w:rPr>
  </w:style>
  <w:style w:type="character" w:styleId="26">
    <w:name w:val="page number"/>
    <w:basedOn w:val="24"/>
    <w:uiPriority w:val="0"/>
  </w:style>
  <w:style w:type="character" w:styleId="27">
    <w:name w:val="Hyperlink"/>
    <w:uiPriority w:val="0"/>
    <w:rPr>
      <w:color w:val="0000FF"/>
      <w:u w:val="single"/>
    </w:rPr>
  </w:style>
  <w:style w:type="character" w:styleId="28">
    <w:name w:val="annotation reference"/>
    <w:uiPriority w:val="0"/>
    <w:rPr>
      <w:sz w:val="21"/>
      <w:szCs w:val="21"/>
    </w:rPr>
  </w:style>
  <w:style w:type="character" w:customStyle="1" w:styleId="29">
    <w:name w:val="标题 2 字符"/>
    <w:basedOn w:val="24"/>
    <w:link w:val="3"/>
    <w:uiPriority w:val="9"/>
    <w:rPr>
      <w:rFonts w:asciiTheme="majorHAnsi" w:hAnsiTheme="majorHAnsi" w:eastAsiaTheme="majorEastAsia" w:cstheme="majorBidi"/>
      <w:b/>
      <w:bCs/>
      <w:sz w:val="32"/>
      <w:szCs w:val="32"/>
    </w:rPr>
  </w:style>
  <w:style w:type="character" w:customStyle="1" w:styleId="30">
    <w:name w:val="标题 3 字符"/>
    <w:basedOn w:val="24"/>
    <w:link w:val="4"/>
    <w:uiPriority w:val="9"/>
    <w:rPr>
      <w:b/>
      <w:bCs/>
      <w:sz w:val="32"/>
      <w:szCs w:val="32"/>
    </w:rPr>
  </w:style>
  <w:style w:type="character" w:customStyle="1" w:styleId="31">
    <w:name w:val="页脚 字符"/>
    <w:basedOn w:val="24"/>
    <w:link w:val="14"/>
    <w:uiPriority w:val="99"/>
    <w:rPr>
      <w:rFonts w:ascii="Times New Roman" w:hAnsi="Times New Roman" w:eastAsia="宋体" w:cs="Times New Roman"/>
      <w:sz w:val="18"/>
      <w:szCs w:val="18"/>
    </w:rPr>
  </w:style>
  <w:style w:type="character" w:customStyle="1" w:styleId="32">
    <w:name w:val="标题 4 字符"/>
    <w:basedOn w:val="24"/>
    <w:link w:val="5"/>
    <w:uiPriority w:val="9"/>
    <w:rPr>
      <w:rFonts w:ascii="Times New Roman" w:hAnsi="Times New Roman" w:cs="Times New Roman"/>
      <w:b/>
      <w:bCs/>
      <w:kern w:val="0"/>
      <w:sz w:val="24"/>
      <w:szCs w:val="24"/>
    </w:rPr>
  </w:style>
  <w:style w:type="character" w:customStyle="1" w:styleId="33">
    <w:name w:val="页眉 字符"/>
    <w:basedOn w:val="24"/>
    <w:link w:val="15"/>
    <w:uiPriority w:val="99"/>
    <w:rPr>
      <w:sz w:val="18"/>
      <w:szCs w:val="18"/>
    </w:rPr>
  </w:style>
  <w:style w:type="character" w:customStyle="1" w:styleId="34">
    <w:name w:val="标题 1 字符"/>
    <w:basedOn w:val="24"/>
    <w:link w:val="2"/>
    <w:uiPriority w:val="9"/>
    <w:rPr>
      <w:rFonts w:ascii="Times New Roman" w:hAnsi="Times New Roman" w:cs="Times New Roman"/>
      <w:b/>
      <w:bCs/>
      <w:kern w:val="36"/>
      <w:sz w:val="48"/>
      <w:szCs w:val="48"/>
    </w:rPr>
  </w:style>
  <w:style w:type="character" w:customStyle="1" w:styleId="35">
    <w:name w:val="font21"/>
    <w:uiPriority w:val="0"/>
    <w:rPr>
      <w:rFonts w:ascii="Times New Roman" w:hAnsi="Times New Roman" w:cs="Times New Roman"/>
      <w:color w:val="000000"/>
      <w:sz w:val="24"/>
      <w:szCs w:val="24"/>
      <w:u w:val="none"/>
      <w:lang w:bidi="ar-SA"/>
    </w:rPr>
  </w:style>
  <w:style w:type="character" w:customStyle="1" w:styleId="36">
    <w:name w:val="font11"/>
    <w:uiPriority w:val="0"/>
    <w:rPr>
      <w:rFonts w:ascii="宋体" w:eastAsia="宋体" w:cs="宋体"/>
      <w:color w:val="000000"/>
      <w:sz w:val="24"/>
      <w:szCs w:val="24"/>
      <w:u w:val="none"/>
      <w:vertAlign w:val="subscript"/>
      <w:lang w:bidi="ar-SA"/>
    </w:rPr>
  </w:style>
  <w:style w:type="character" w:customStyle="1" w:styleId="37">
    <w:name w:val="font01"/>
    <w:uiPriority w:val="0"/>
    <w:rPr>
      <w:rFonts w:ascii="宋体" w:eastAsia="宋体" w:cs="宋体"/>
      <w:color w:val="000000"/>
      <w:sz w:val="24"/>
      <w:szCs w:val="24"/>
      <w:u w:val="none"/>
      <w:lang w:bidi="ar-SA"/>
    </w:rPr>
  </w:style>
  <w:style w:type="character" w:customStyle="1" w:styleId="38">
    <w:name w:val="正文文本 字符"/>
    <w:basedOn w:val="24"/>
    <w:link w:val="8"/>
    <w:uiPriority w:val="0"/>
    <w:rPr>
      <w:rFonts w:ascii="Times New Roman" w:hAnsi="Times New Roman" w:eastAsia="宋体" w:cs="Times New Roman"/>
      <w:szCs w:val="24"/>
    </w:rPr>
  </w:style>
  <w:style w:type="character" w:customStyle="1" w:styleId="39">
    <w:name w:val="正文文本首行缩进 字符"/>
    <w:basedOn w:val="38"/>
    <w:link w:val="21"/>
    <w:uiPriority w:val="0"/>
    <w:rPr>
      <w:rFonts w:ascii="Arial" w:hAnsi="Arial" w:eastAsia="宋体" w:cs="Times New Roman"/>
      <w:szCs w:val="21"/>
    </w:rPr>
  </w:style>
  <w:style w:type="character" w:customStyle="1" w:styleId="40">
    <w:name w:val="批注文字 字符"/>
    <w:basedOn w:val="24"/>
    <w:link w:val="7"/>
    <w:uiPriority w:val="0"/>
    <w:rPr>
      <w:rFonts w:ascii="Times New Roman" w:hAnsi="Times New Roman" w:eastAsia="宋体" w:cs="Times New Roman"/>
      <w:szCs w:val="24"/>
    </w:rPr>
  </w:style>
  <w:style w:type="paragraph" w:customStyle="1" w:styleId="41">
    <w:name w:val="p0"/>
    <w:basedOn w:val="1"/>
    <w:uiPriority w:val="0"/>
    <w:pPr>
      <w:widowControl/>
    </w:pPr>
    <w:rPr>
      <w:rFonts w:ascii="Times New Roman" w:hAnsi="Times New Roman" w:eastAsia="宋体" w:cs="Times New Roman"/>
      <w:kern w:val="0"/>
      <w:szCs w:val="21"/>
    </w:rPr>
  </w:style>
  <w:style w:type="character" w:customStyle="1" w:styleId="42">
    <w:name w:val="日期 字符"/>
    <w:basedOn w:val="24"/>
    <w:link w:val="11"/>
    <w:uiPriority w:val="0"/>
    <w:rPr>
      <w:rFonts w:ascii="Times New Roman" w:hAnsi="Times New Roman" w:eastAsia="宋体" w:cs="Times New Roman"/>
      <w:szCs w:val="24"/>
      <w:lang w:val="zh-CN" w:eastAsia="zh-CN"/>
    </w:rPr>
  </w:style>
  <w:style w:type="character" w:customStyle="1" w:styleId="43">
    <w:name w:val="批注框文本 字符"/>
    <w:basedOn w:val="24"/>
    <w:link w:val="13"/>
    <w:uiPriority w:val="0"/>
    <w:rPr>
      <w:rFonts w:ascii="Times New Roman" w:hAnsi="Times New Roman" w:eastAsia="宋体" w:cs="Times New Roman"/>
      <w:sz w:val="18"/>
      <w:szCs w:val="18"/>
      <w:lang w:val="zh-CN" w:eastAsia="zh-CN"/>
    </w:rPr>
  </w:style>
  <w:style w:type="paragraph" w:customStyle="1" w:styleId="44">
    <w:name w:val="列表段落1"/>
    <w:basedOn w:val="1"/>
    <w:uiPriority w:val="0"/>
    <w:pPr>
      <w:ind w:firstLine="200" w:firstLineChars="200"/>
    </w:pPr>
    <w:rPr>
      <w:rFonts w:ascii="Times New Roman" w:hAnsi="Times New Roman" w:eastAsia="宋体" w:cs="Times New Roman"/>
      <w:szCs w:val="24"/>
    </w:rPr>
  </w:style>
  <w:style w:type="paragraph" w:customStyle="1" w:styleId="45">
    <w:name w:val="TOC Heading"/>
    <w:basedOn w:val="2"/>
    <w:next w:val="1"/>
    <w:qFormat/>
    <w:uiPriority w:val="0"/>
    <w:pPr>
      <w:keepNext/>
      <w:keepLines/>
      <w:spacing w:before="480" w:beforeAutospacing="0" w:after="0" w:afterAutospacing="0" w:line="276" w:lineRule="auto"/>
      <w:outlineLvl w:val="9"/>
    </w:pPr>
    <w:rPr>
      <w:rFonts w:ascii="Cambria" w:hAnsi="Cambria" w:eastAsia="宋体"/>
      <w:color w:val="365F91"/>
      <w:kern w:val="0"/>
      <w:sz w:val="28"/>
      <w:szCs w:val="28"/>
      <w:lang w:val="zh-CN" w:eastAsia="zh-CN"/>
    </w:rPr>
  </w:style>
  <w:style w:type="paragraph" w:styleId="46">
    <w:name w:val="No Spacing"/>
    <w:basedOn w:val="47"/>
    <w:next w:val="47"/>
    <w:qFormat/>
    <w:uiPriority w:val="0"/>
    <w:rPr>
      <w:color w:val="auto"/>
    </w:rPr>
  </w:style>
  <w:style w:type="paragraph" w:customStyle="1" w:styleId="47">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48">
    <w:name w:val="批注主题 字符"/>
    <w:basedOn w:val="40"/>
    <w:link w:val="20"/>
    <w:uiPriority w:val="0"/>
    <w:rPr>
      <w:rFonts w:ascii="Times New Roman" w:hAnsi="Times New Roman" w:eastAsia="宋体" w:cs="Times New Roman"/>
      <w:b/>
      <w:bCs/>
      <w:szCs w:val="24"/>
      <w:lang w:val="zh-CN" w:eastAsia="zh-CN"/>
    </w:rPr>
  </w:style>
  <w:style w:type="character" w:customStyle="1" w:styleId="49">
    <w:name w:val="文档结构图 字符"/>
    <w:basedOn w:val="24"/>
    <w:link w:val="6"/>
    <w:uiPriority w:val="0"/>
    <w:rPr>
      <w:rFonts w:ascii="宋体" w:hAnsi="Times New Roman" w:eastAsia="宋体" w:cs="Times New Roman"/>
      <w:sz w:val="18"/>
      <w:szCs w:val="18"/>
      <w:lang w:val="zh-CN" w:eastAsia="zh-CN"/>
    </w:rPr>
  </w:style>
  <w:style w:type="paragraph" w:customStyle="1" w:styleId="50">
    <w:name w:val="目次、标准名称标题"/>
    <w:basedOn w:val="47"/>
    <w:next w:val="47"/>
    <w:uiPriority w:val="0"/>
    <w:rPr>
      <w:color w:val="auto"/>
    </w:rPr>
  </w:style>
  <w:style w:type="character" w:customStyle="1" w:styleId="51">
    <w:name w:val="标题 字符"/>
    <w:basedOn w:val="24"/>
    <w:link w:val="19"/>
    <w:uiPriority w:val="0"/>
    <w:rPr>
      <w:rFonts w:ascii="Cambria" w:hAnsi="Cambria" w:eastAsia="宋体" w:cs="Times New Roman"/>
      <w:b/>
      <w:bCs/>
      <w:sz w:val="32"/>
      <w:szCs w:val="32"/>
    </w:rPr>
  </w:style>
  <w:style w:type="paragraph" w:customStyle="1" w:styleId="52">
    <w:name w:val="段"/>
    <w:basedOn w:val="47"/>
    <w:next w:val="47"/>
    <w:uiPriority w:val="0"/>
    <w:rPr>
      <w:color w:val="auto"/>
    </w:rPr>
  </w:style>
  <w:style w:type="paragraph" w:styleId="53">
    <w:name w:val="List Paragraph"/>
    <w:basedOn w:val="1"/>
    <w:qFormat/>
    <w:uiPriority w:val="0"/>
    <w:pPr>
      <w:ind w:firstLine="200" w:firstLineChars="200"/>
    </w:pPr>
    <w:rPr>
      <w:rFonts w:ascii="Times New Roman" w:hAnsi="Times New Roman" w:eastAsia="宋体" w:cs="Times New Roman"/>
      <w:szCs w:val="24"/>
    </w:rPr>
  </w:style>
  <w:style w:type="character" w:customStyle="1" w:styleId="54">
    <w:name w:val="section0"/>
    <w:basedOn w:val="24"/>
    <w:uiPriority w:val="0"/>
  </w:style>
  <w:style w:type="character" w:customStyle="1" w:styleId="55">
    <w:name w:val="section1"/>
    <w:basedOn w:val="24"/>
    <w:uiPriority w:val="0"/>
  </w:style>
  <w:style w:type="character" w:customStyle="1" w:styleId="56">
    <w:name w:val="正文文本缩进 字符"/>
    <w:basedOn w:val="24"/>
    <w:link w:val="9"/>
    <w:uiPriority w:val="0"/>
    <w:rPr>
      <w:rFonts w:ascii="仿宋_GB2312" w:hAnsi="宋体" w:eastAsia="仿宋_GB2312" w:cs="Times New Roman"/>
      <w:sz w:val="32"/>
      <w:szCs w:val="28"/>
    </w:rPr>
  </w:style>
  <w:style w:type="character" w:customStyle="1" w:styleId="57">
    <w:name w:val="正文文本缩进 2 字符"/>
    <w:basedOn w:val="24"/>
    <w:link w:val="12"/>
    <w:uiPriority w:val="0"/>
    <w:rPr>
      <w:rFonts w:ascii="仿宋_GB2312" w:hAnsi="宋体" w:eastAsia="仿宋_GB2312" w:cs="Times New Roman"/>
      <w:sz w:val="32"/>
      <w:szCs w:val="28"/>
    </w:rPr>
  </w:style>
  <w:style w:type="paragraph" w:customStyle="1" w:styleId="58">
    <w:name w:val="HTML Top of Form"/>
    <w:basedOn w:val="1"/>
    <w:next w:val="1"/>
    <w:link w:val="59"/>
    <w:semiHidden/>
    <w:unhideWhenUsed/>
    <w:uiPriority w:val="99"/>
    <w:pPr>
      <w:widowControl/>
      <w:pBdr>
        <w:bottom w:val="single" w:color="auto" w:sz="6" w:space="1"/>
      </w:pBdr>
      <w:jc w:val="center"/>
    </w:pPr>
    <w:rPr>
      <w:rFonts w:ascii="Arial" w:hAnsi="Arial" w:cs="Arial"/>
      <w:vanish/>
      <w:kern w:val="0"/>
      <w:sz w:val="16"/>
      <w:szCs w:val="16"/>
    </w:rPr>
  </w:style>
  <w:style w:type="character" w:customStyle="1" w:styleId="59">
    <w:name w:val="z-窗体顶端 字符"/>
    <w:basedOn w:val="24"/>
    <w:link w:val="58"/>
    <w:semiHidden/>
    <w:uiPriority w:val="99"/>
    <w:rPr>
      <w:rFonts w:ascii="Arial" w:hAnsi="Arial" w:cs="Arial"/>
      <w:vanish/>
      <w:kern w:val="0"/>
      <w:sz w:val="16"/>
      <w:szCs w:val="16"/>
    </w:rPr>
  </w:style>
  <w:style w:type="paragraph" w:customStyle="1" w:styleId="60">
    <w:name w:val="HTML Bottom of Form"/>
    <w:basedOn w:val="1"/>
    <w:next w:val="1"/>
    <w:link w:val="61"/>
    <w:semiHidden/>
    <w:unhideWhenUsed/>
    <w:uiPriority w:val="99"/>
    <w:pPr>
      <w:widowControl/>
      <w:pBdr>
        <w:top w:val="single" w:color="auto" w:sz="6" w:space="1"/>
      </w:pBdr>
      <w:jc w:val="center"/>
    </w:pPr>
    <w:rPr>
      <w:rFonts w:ascii="Arial" w:hAnsi="Arial" w:cs="Arial"/>
      <w:vanish/>
      <w:kern w:val="0"/>
      <w:sz w:val="16"/>
      <w:szCs w:val="16"/>
    </w:rPr>
  </w:style>
  <w:style w:type="character" w:customStyle="1" w:styleId="61">
    <w:name w:val="z-窗体底端 字符"/>
    <w:basedOn w:val="24"/>
    <w:link w:val="60"/>
    <w:semiHidden/>
    <w:uiPriority w:val="99"/>
    <w:rPr>
      <w:rFonts w:ascii="Arial" w:hAnsi="Arial" w:cs="Arial"/>
      <w:vanish/>
      <w:kern w:val="0"/>
      <w:sz w:val="16"/>
      <w:szCs w:val="16"/>
    </w:rPr>
  </w:style>
  <w:style w:type="character" w:customStyle="1" w:styleId="62">
    <w:name w:val="正文文本缩进 3 字符"/>
    <w:basedOn w:val="24"/>
    <w:link w:val="17"/>
    <w:uiPriority w:val="0"/>
    <w:rPr>
      <w:rFonts w:ascii="仿宋_GB2312" w:hAnsi="宋体" w:eastAsia="仿宋_GB2312" w:cs="Times New Roman"/>
      <w:b/>
      <w:sz w:val="30"/>
      <w:szCs w:val="20"/>
    </w:rPr>
  </w:style>
  <w:style w:type="character" w:customStyle="1" w:styleId="63">
    <w:name w:val="纯文本 字符"/>
    <w:basedOn w:val="24"/>
    <w:link w:val="10"/>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627</Words>
  <Characters>3580</Characters>
  <Lines>29</Lines>
  <Paragraphs>8</Paragraphs>
  <TotalTime>0</TotalTime>
  <ScaleCrop>false</ScaleCrop>
  <LinksUpToDate>false</LinksUpToDate>
  <CharactersWithSpaces>4199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2019-03-23T15:12:00Z</dcterms:created>
  <dc:creator>雯 张</dc:creator>
  <cp:lastModifiedBy>雯 张</cp:lastModifiedBy>
  <dcterms:modified xsi:type="dcterms:W3CDTF">2020-05-19T17:09:14Z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