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物权法》、《中华人民共和国担保法》、《探矿权采矿权转让管理办法》、《矿业权出让转让管理暂行规定》和其他法律法规及政策，经友好协商，就乙方以其合法拥有的采矿权</w:t>
      </w:r>
      <w:r>
        <w:rPr>
          <w:rFonts w:hint="eastAsia" w:ascii="宋体" w:hAnsi="宋体" w:eastAsia="宋体" w:cs="宋体"/>
          <w:sz w:val="24"/>
          <w:szCs w:val="24"/>
          <w:u w:val="single"/>
        </w:rPr>
        <w:t>        </w:t>
      </w:r>
      <w:r>
        <w:rPr>
          <w:rFonts w:hint="eastAsia" w:ascii="宋体" w:hAnsi="宋体" w:eastAsia="宋体" w:cs="宋体"/>
          <w:sz w:val="24"/>
          <w:szCs w:val="24"/>
        </w:rPr>
        <w:t>（填入采矿权名称）向甲方设定抵押担保一事订立本合同。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乙方向甲方设定抵押的本合同项下的采矿权（以下简称“抵押物”），其采矿许可证编号为：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抵押物系乙方通过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日依法获得的，乙方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抵押物的矿区地理位置为：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（具体位置见本合同所附矿区范围图）；抵押物的生产规模为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抵押物的采矿许可证有效期自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日，抵押物占有且经备案的资源储量情况如下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抵押物的评估价值为：人民币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万元整。抵押物的评估报告原件见本合同附件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抵押担保范围包括但不限于本合同项下的借款本金、利息、罚息、复利、违约金、损害赔偿金，以及甲方为实现抵押权而发生的诉讼费、财产保全费、律师费、评估费、执行费、拍卖费等其他相关费用。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本合同抵押权的效力及于矿区范围内的全部基础设施和地上附着物。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甲方对抵押物享有第一顺位的优先受偿权，其行使本合同项下的权利时无须首先或同时向借款人或其他担保人追索，而可按法律规定从处置抵押物所得价款中优先受偿。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乙方向甲方陈述、保证并承诺，截止到抵押备案之日：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采矿许可证是真实、合法、有效的；乙方对抵押物拥有完整无瑕疵的权利；抵押物不存在与其他矿权重叠或交叉的情形；抵押物与其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（2）乙方已依法缴纳了采矿权使用费、采矿权价款（若需要的话）、资源税、矿产资源补偿费和矿山环境治理恢复保证金；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（3）乙方不存在采用破坏性开采方法开采矿产资源的行为；不存在越界开采的非法行为；不存在未经审查批准擅自出租、非法承包、转让或与他人合作开采的行为；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依法办理了采矿用地报批手续，并付清了所需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（7）抵押备案完成后，不存在发证机关可能基于抵押备案前因可归责于乙方的原因或行为而吊销抵押物采矿许可证的情形；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（8）乙方已完成签署本合同所需一切授权、批准（除发证机关的批准外）等程序；乙方设定本合同项下的抵押，不会违反其公司章程，不会违反其与其他任何第三方签署的合同。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乙方承诺：在本合同签署后，乙方仍将依法履行矿业权人的各项义务，以确保抵押物的合法、有效存续，并确保抵押物始终符合法律、法规、规章及政策规定的转让条件。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抵押期间，乙方应每</w:t>
      </w:r>
      <w:r>
        <w:rPr>
          <w:rFonts w:hint="eastAsia" w:ascii="宋体" w:hAnsi="宋体" w:eastAsia="宋体" w:cs="宋体"/>
          <w:sz w:val="24"/>
          <w:szCs w:val="24"/>
          <w:u w:val="single"/>
        </w:rPr>
        <w:t>    </w:t>
      </w:r>
      <w:r>
        <w:rPr>
          <w:rFonts w:hint="eastAsia" w:ascii="宋体" w:hAnsi="宋体" w:eastAsia="宋体" w:cs="宋体"/>
          <w:sz w:val="24"/>
          <w:szCs w:val="24"/>
        </w:rPr>
        <w:t>个月向甲方提交一份书面报告（以下简称“定期报告”），该报告应包括但不限于以下内容：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（3）抵押物矿区的开采情况、矿产品的销售情况；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抵押期间，除本合同本条第一款所述的定期报告外，甲方还有权随时要求乙方提供与抵押物有关的各种情况的临时报告（以下简称“临时报告”）。乙方应在收到甲方的该等书面要求后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作的陈述、保证和承诺与实际情况有任何出入，或乙方违反了其所作的任何陈述、保证和承诺或本合同第五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抵押期间，乙方违反或未履行其法定义务，致使抵押物不能通过年度检查、获得延续登记，或被国土资源部门依法注销或吊销的，甲方有权宣布贷款提前到期，并要求乙方承担由此给其造成的一切经济损失。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合同项下的债务履行期届满（包括因借款人违约或/及抵押人违反陈述与保证、特别约定事项等导致债务被宣布提前到期的），甲方未受清偿时，或者发生法律、法规、规章规定的甲方有权处分抵押物的情况时，甲乙双方可共同协商或由甲方单方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矿业权交易中心将抵押物进行拍卖或变卖，并以拍卖、变卖所得的价款优先清偿甲方的债权。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