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活动板房定制安装合同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根据《中华人民共和国合同法》及有关法律、法规精神，甲、乙双方本着平等互利的原则，经友好协商一致同意签订本合同。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一、订购板房内容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甲方向乙方订购的活动板房内容为：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7"/>
        <w:gridCol w:w="1470"/>
        <w:gridCol w:w="1827"/>
        <w:gridCol w:w="2361"/>
        <w:gridCol w:w="1827"/>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面积（㎡）</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小计（元）</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双层四坡</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单层轻钢</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27"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677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活动板房面积计算：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1.板房面积＝外墙面长X宽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2.室外楼梯、走道面积＝每层自然投影面积之和。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3.雨棚面积＝雨棚投影面积的一半。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4.总面积＝（1）+（2）+（3）。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5.工程完工建成按实际面积结算。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1.双层活动板房单价为人民币</w:t>
      </w:r>
      <w:r>
        <w:rPr>
          <w:rFonts w:hint="eastAsia" w:ascii="宋体" w:hAnsi="宋体" w:eastAsia="宋体" w:cs="宋体"/>
          <w:sz w:val="24"/>
          <w:szCs w:val="24"/>
          <w:u w:val="single"/>
        </w:rPr>
        <w:t>    </w:t>
      </w:r>
      <w:r>
        <w:rPr>
          <w:rFonts w:hint="eastAsia" w:ascii="宋体" w:hAnsi="宋体" w:eastAsia="宋体" w:cs="宋体"/>
          <w:sz w:val="24"/>
          <w:szCs w:val="24"/>
        </w:rPr>
        <w:t>元/㎡，本单价为建设材料费，运输费和安装费用的总和，不包括土建及水电安装项目的费用。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2.其他项目：单层轻钢房单价人民币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3.合同总金额约：人民币（大写）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1.钢构地梁、立柱、钢梁、檩条、屋架、墙板、屋面板等全部材料进场完毕，甲方应向乙方支付合同金额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2.活动板房安装完工，甲方验收完毕10日内应向乙方支付合同金额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元）；剩余5%的合同价款作为质保金，计人民币（大写）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3.质保期一年，到期后一个月内无息付清。（质保期以验收合格完毕后开始计算）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四、安装地点及工期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1.安装布置图详细见甲方确认平面布置图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2.相关工艺技术要求：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（1）房间轻质隔板宽度必须保证120CM，隔板中间用T型铝条连接，且隔板必须完全封堵至顶板，保证密闭性。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（2）门需采用防盗门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（3）室内楼梯采用钢制楼梯（不另计费用）其他各项施工标准与工艺必须要与双方在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日所签署合同建造的活动板房一致。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日前全部安装完毕。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由于下列原因造成竣工日期延误，安装工期应顺延：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1.设计变更或工程量增加。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2.一周内因停电造成停工累计八小时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3.甲方不能按约定期限提供场地、清除障碍、疏通进场道路和接通施工用水用电。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4.不可抗力：战争、动乱、空中飞行物体坠落或其他非甲乙双方责任造成的爆炸、火灾、水灾、以及台风（老式房屋七级以上为自然灾害新型房屋十级以上为自然灾害）大雨、地震等。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5.甲方分包的工程，拖延了工程进度。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1.应在安装前两天做到场地平整和道路通畅，并做好活动板房的基础。进场当天，甲方至少应派一名代表到安装现场协助乙方顺利开工。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2.施工期间提供用水、用电的接口，水电费用由乙方承担。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3.应按合同二、三条规定的时间和方法将款项付给乙方，如甲方未按期向乙方付款，甲方需付给乙方应付款的每天3‰的滞纳金。因此造成的停工，同时承担乙方误工费每人每天30元。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的当天，派一名现场代表到安装现场同乙方共同按合同及附件进行验收，并签署验收单，办理接收及结算手续。如甲方未到现场参与验收而自行启用本活动板房，则视为对本活动动板房安装质量符合合同要求的确认和验收手续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5.进场前，应对乙方提供的设计图纸予以确定。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1.约定的时间完成供应和安装任务。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2.按照工程通用产品的质量，满足使用要求。其中楼面承受负荷不小于150kg/㎡；如因质量问题给甲方及三方造成的损失由乙方负责赔偿。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3.服务期限为一年，属乙方原因造成活动板房质量问题的，乙方予以无偿修补。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4.其他服务：乙方今后服务期满后发生的损坏或服务期内属于甲方原因造成的损坏，乙方负责予以修补，所需费用由甲方承担。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5.乙方安装期间属于乙方的原因造成的安装损失由乙方承担。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1.本合同未尽事宜由双方本着友好合作的精神协商后签订补充协议与本合同具有同等效力。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2.本合同所列附件是本合同的组成部分，与本合同有同等效力。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3.本合同在履行中如发生争议，双方协商解决，协商不成时，任意一方均有权向人民法院提起诉讼。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