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bookmarkEnd w:id="0"/>
      <w:r>
        <w:rPr>
          <w:rStyle w:val="8"/>
          <w:rFonts w:hint="eastAsia" w:ascii="宋体" w:hAnsi="宋体" w:eastAsia="宋体" w:cs="宋体"/>
          <w:b/>
          <w:sz w:val="32"/>
          <w:szCs w:val="32"/>
        </w:rPr>
        <w:t>认证服务合同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根据《中华人民共和国合同法》及其他法律、法规的规定，甲乙双方经过协商一致，就乙方负责为甲方申请专利及国家高新技术企业认证事宜签订本合同，以资共同遵守。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负责甲方专利申请及国家高新技术企业的认证。乙方协助甲方准备相关资料（包括但不限于专利申请、申请高新企业财务策划等必需的材料）。乙方指导甲方组织申报资料，为其他需要准备的工作提供咨询，确保申报材料合法、完整、齐全，使之符合知识产权法等相关法律、法规的要求，能够顺利申请。乙方负责甲方的专利撰写、外观拍照制图，申请申报、审查补正、答复审查意见及其他申请高新技术企业材料的撰写，直到取得国家知识产权局的专利授权通知为止及取得国家高新技术企业证书时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二、委托期限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乙方从本合同生效之日起至甲方取得国家高新技术企业证书时为止，申请期限不得超过</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三、收费标准及付款方式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1.收费标准：经协商本次收取服务费为：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（1）专利申请费：每个专利人民币</w:t>
      </w:r>
      <w:r>
        <w:rPr>
          <w:rFonts w:hint="eastAsia" w:ascii="宋体" w:hAnsi="宋体" w:eastAsia="宋体" w:cs="宋体"/>
          <w:sz w:val="24"/>
          <w:szCs w:val="24"/>
          <w:u w:val="single"/>
        </w:rPr>
        <w:t>    </w:t>
      </w:r>
      <w:r>
        <w:rPr>
          <w:rFonts w:hint="eastAsia" w:ascii="宋体" w:hAnsi="宋体" w:eastAsia="宋体" w:cs="宋体"/>
          <w:sz w:val="24"/>
          <w:szCs w:val="24"/>
        </w:rPr>
        <w:t>元，最少</w:t>
      </w:r>
      <w:r>
        <w:rPr>
          <w:rFonts w:hint="eastAsia" w:ascii="宋体" w:hAnsi="宋体" w:eastAsia="宋体" w:cs="宋体"/>
          <w:sz w:val="24"/>
          <w:szCs w:val="24"/>
          <w:u w:val="single"/>
        </w:rPr>
        <w:t>    </w:t>
      </w:r>
      <w:r>
        <w:rPr>
          <w:rFonts w:hint="eastAsia" w:ascii="宋体" w:hAnsi="宋体" w:eastAsia="宋体" w:cs="宋体"/>
          <w:sz w:val="24"/>
          <w:szCs w:val="24"/>
        </w:rPr>
        <w:t>个实用新型专利；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（2）辅导服务费：人民币（大写）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（3）三年年审加三年专审的审计费（该费用由会计师事务所收取）。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（1）本协议书签字生效后</w:t>
      </w:r>
      <w:r>
        <w:rPr>
          <w:rFonts w:hint="eastAsia" w:ascii="宋体" w:hAnsi="宋体" w:eastAsia="宋体" w:cs="宋体"/>
          <w:sz w:val="24"/>
          <w:szCs w:val="24"/>
          <w:u w:val="single"/>
        </w:rPr>
        <w:t>    </w:t>
      </w:r>
      <w:r>
        <w:rPr>
          <w:rFonts w:hint="eastAsia" w:ascii="宋体" w:hAnsi="宋体" w:eastAsia="宋体" w:cs="宋体"/>
          <w:sz w:val="24"/>
          <w:szCs w:val="24"/>
        </w:rPr>
        <w:t>日内，甲方先支付第一笔专利申请费人民币</w:t>
      </w:r>
      <w:r>
        <w:rPr>
          <w:rFonts w:hint="eastAsia" w:ascii="宋体" w:hAnsi="宋体" w:eastAsia="宋体" w:cs="宋体"/>
          <w:sz w:val="24"/>
          <w:szCs w:val="24"/>
          <w:u w:val="single"/>
        </w:rPr>
        <w:t>    </w:t>
      </w:r>
      <w:r>
        <w:rPr>
          <w:rFonts w:hint="eastAsia" w:ascii="宋体" w:hAnsi="宋体" w:eastAsia="宋体" w:cs="宋体"/>
          <w:sz w:val="24"/>
          <w:szCs w:val="24"/>
        </w:rPr>
        <w:t>元，专利申请费余款在专利完成申请后</w:t>
      </w:r>
      <w:r>
        <w:rPr>
          <w:rFonts w:hint="eastAsia" w:ascii="宋体" w:hAnsi="宋体" w:eastAsia="宋体" w:cs="宋体"/>
          <w:sz w:val="24"/>
          <w:szCs w:val="24"/>
          <w:u w:val="single"/>
        </w:rPr>
        <w:t>    </w:t>
      </w:r>
      <w:r>
        <w:rPr>
          <w:rFonts w:hint="eastAsia" w:ascii="宋体" w:hAnsi="宋体" w:eastAsia="宋体" w:cs="宋体"/>
          <w:sz w:val="24"/>
          <w:szCs w:val="24"/>
        </w:rPr>
        <w:t>日内付清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（2）本协议书签字生效后</w:t>
      </w:r>
      <w:r>
        <w:rPr>
          <w:rFonts w:hint="eastAsia" w:ascii="宋体" w:hAnsi="宋体" w:eastAsia="宋体" w:cs="宋体"/>
          <w:sz w:val="24"/>
          <w:szCs w:val="24"/>
          <w:u w:val="single"/>
        </w:rPr>
        <w:t>    </w:t>
      </w:r>
      <w:r>
        <w:rPr>
          <w:rFonts w:hint="eastAsia" w:ascii="宋体" w:hAnsi="宋体" w:eastAsia="宋体" w:cs="宋体"/>
          <w:sz w:val="24"/>
          <w:szCs w:val="24"/>
        </w:rPr>
        <w:t>日内，甲方先支付第一笔辅导服务费人民币</w:t>
      </w:r>
      <w:r>
        <w:rPr>
          <w:rFonts w:hint="eastAsia" w:ascii="宋体" w:hAnsi="宋体" w:eastAsia="宋体" w:cs="宋体"/>
          <w:sz w:val="24"/>
          <w:szCs w:val="24"/>
          <w:u w:val="single"/>
        </w:rPr>
        <w:t>    </w:t>
      </w:r>
      <w:r>
        <w:rPr>
          <w:rFonts w:hint="eastAsia" w:ascii="宋体" w:hAnsi="宋体" w:eastAsia="宋体" w:cs="宋体"/>
          <w:sz w:val="24"/>
          <w:szCs w:val="24"/>
        </w:rPr>
        <w:t>元，余款在甲方取得国家高新技术企业证书</w:t>
      </w:r>
      <w:r>
        <w:rPr>
          <w:rFonts w:hint="eastAsia" w:ascii="宋体" w:hAnsi="宋体" w:eastAsia="宋体" w:cs="宋体"/>
          <w:sz w:val="24"/>
          <w:szCs w:val="24"/>
          <w:u w:val="single"/>
        </w:rPr>
        <w:t>    </w:t>
      </w:r>
      <w:r>
        <w:rPr>
          <w:rFonts w:hint="eastAsia" w:ascii="宋体" w:hAnsi="宋体" w:eastAsia="宋体" w:cs="宋体"/>
          <w:sz w:val="24"/>
          <w:szCs w:val="24"/>
        </w:rPr>
        <w:t>天内付清；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（3）三年年审加三年专审的审计费由甲方直接支付给会计师事务所，根据会计师事务所要求的付款时间支付。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1.甲方按约定的日期为乙方提供相关的文件资料，并对提供的文件资料的真实性准确性和合法性负责；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2.乙方在工作需甲方配合的，甲方应指定有关人员积极配合，使工作顺利进行。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指派符合专业要求的专职人员承办该项业务，以确保工作进度和质量；甲方对乙方人员中可能涉及与甲方有利害关系的人员有权提出回避。乙方遵守职业道德，对甲方提供的内部资料严守秘密；除乙方承办人员外，乙方不得泄露任何甲方的资料给乙方其他工作人员及与申请无关的第三方。乙方在申请成功后，应将相关资料返还给甲方，不得保留，若确需保留，不得将甲方的任何信息透露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2.乙方负责准备办理过程中所需相关文件，并在正常合理的工作时间内完成相关资料的整理。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3.乙方对申请项目中涉及的沟通工作负责协调。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4.乙方应遵守有关法律、法规及国家政策规定为甲方申请，不得利用不合法的手段申请，所造成的后果由乙方承担。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5.乙方应尽职尽责完成申请工作，不得延误。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6.在本合同约定期限内，乙方在未获得甲方书面同意前，不得将甲方在本合同下所委托的产品认证事项全部或部分转委托给其他第三人代理。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1.如乙方非因甲方原因终止履行本约定，所收费用应退还甲方；如甲方因自身原因终止本约定书，乙方有权终止办理相关事宜，并根据已付出的劳动收取相关费用。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2.乙方未按委托协议书所约定的时间、内容及要求完成任务的，应承担违约责任，须返还甲方已支付的费用，并赔偿违约金人民币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甲方未履行其应承担的义务，未及时提供所需要的资料和必要的工作条件，或者在工作过程中不与乙方合作，不指派专业人员配合，致使乙方未能按委托协议书约定的时间和要求完成任务的，乙方不承担违约责任，有权终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4.因乙方的违约、过失、失密、舞弊行为，导致甲方经济上蒙受损失，乙方应承担责任，并给予甲方经济赔偿。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因甲方自身原因提供的资料不真实、不齐全，乙方有权中止工作，要求甲方补齐相关资料，甲方未能配合乙方工作致使乙方申请时间逾期造成违约的，乙方有权终止本协议。依约所收预收款不予退还；因甲方故意提供虚假资料导致不能被认定的，由此而造成的后果乙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需按照法律、法规及国家相关政策的要求指导甲方提供材料，开展申请工作。若甲方因乙方专业原因或乙方其他因素致使甲方提供材料有误，不能申请的，或延迟申请的，甲方有权终止本协议，要求乙方返还甲方的预付款并支付相应的利息。甲方要求乙方继续履行协议的，乙方应根据双方协商，减少申请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因本合同引起的或与本合同有关的任何争议，均提请</w:t>
      </w:r>
      <w:r>
        <w:rPr>
          <w:rFonts w:hint="eastAsia" w:ascii="宋体" w:hAnsi="宋体" w:eastAsia="宋体" w:cs="宋体"/>
          <w:sz w:val="24"/>
          <w:szCs w:val="24"/>
          <w:u w:val="single"/>
        </w:rPr>
        <w:t>        </w:t>
      </w:r>
      <w:r>
        <w:rPr>
          <w:rFonts w:hint="eastAsia" w:ascii="宋体" w:hAnsi="宋体" w:eastAsia="宋体" w:cs="宋体"/>
          <w:sz w:val="24"/>
          <w:szCs w:val="24"/>
        </w:rPr>
        <w:t>仲裁委员会按照其仲裁规则进行仲裁。仲裁地点在</w:t>
      </w:r>
      <w:r>
        <w:rPr>
          <w:rFonts w:hint="eastAsia" w:ascii="宋体" w:hAnsi="宋体" w:eastAsia="宋体" w:cs="宋体"/>
          <w:sz w:val="24"/>
          <w:szCs w:val="24"/>
          <w:u w:val="single"/>
        </w:rPr>
        <w:t>        </w:t>
      </w:r>
      <w:r>
        <w:rPr>
          <w:rFonts w:hint="eastAsia" w:ascii="宋体" w:hAnsi="宋体" w:eastAsia="宋体" w:cs="宋体"/>
          <w:sz w:val="24"/>
          <w:szCs w:val="24"/>
        </w:rPr>
        <w:t>，仲裁语言为</w:t>
      </w:r>
      <w:r>
        <w:rPr>
          <w:rFonts w:hint="eastAsia" w:ascii="宋体" w:hAnsi="宋体" w:eastAsia="宋体" w:cs="宋体"/>
          <w:sz w:val="24"/>
          <w:szCs w:val="24"/>
          <w:u w:val="single"/>
        </w:rPr>
        <w:t xml:space="preserve"> 中文 </w:t>
      </w:r>
      <w:r>
        <w:rPr>
          <w:rFonts w:hint="eastAsia" w:ascii="宋体" w:hAnsi="宋体" w:eastAsia="宋体" w:cs="宋体"/>
          <w:sz w:val="24"/>
          <w:szCs w:val="24"/>
        </w:rPr>
        <w:t>。仲裁裁决是终局的，对协议各方均有约束力。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w:t>
      </w:r>
      <w:r>
        <w:rPr>
          <w:rFonts w:hint="eastAsia" w:ascii="宋体" w:hAnsi="宋体" w:eastAsia="宋体" w:cs="宋体"/>
          <w:sz w:val="24"/>
          <w:szCs w:val="24"/>
          <w:u w:val="single"/>
        </w:rPr>
        <w:t xml:space="preserve">  </w:t>
      </w:r>
      <w:r>
        <w:rPr>
          <w:rFonts w:hint="eastAsia" w:ascii="宋体" w:hAnsi="宋体" w:eastAsia="宋体" w:cs="宋体"/>
          <w:sz w:val="24"/>
          <w:szCs w:val="24"/>
        </w:rPr>
        <w:t>份，协议各方各执</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份。各份协议文本具有同等法律效力。 </w:t>
      </w:r>
      <w:r>
        <w:rPr>
          <w:rFonts w:hint="eastAsia" w:ascii="宋体" w:hAnsi="宋体" w:eastAsia="宋体" w:cs="宋体"/>
          <w:sz w:val="24"/>
          <w:szCs w:val="24"/>
        </w:rPr>
        <w:br w:type="textWrapping"/>
      </w: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B876A5"/>
    <w:rsid w:val="08C65D05"/>
    <w:rsid w:val="09171751"/>
    <w:rsid w:val="09301E22"/>
    <w:rsid w:val="096353A1"/>
    <w:rsid w:val="099F17A6"/>
    <w:rsid w:val="09B532A7"/>
    <w:rsid w:val="0A71681A"/>
    <w:rsid w:val="0B17236B"/>
    <w:rsid w:val="0B28321B"/>
    <w:rsid w:val="0B346906"/>
    <w:rsid w:val="0B845F80"/>
    <w:rsid w:val="0BE301B5"/>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847E2"/>
    <w:rsid w:val="13DC0F8E"/>
    <w:rsid w:val="1552429B"/>
    <w:rsid w:val="162C5A0B"/>
    <w:rsid w:val="1645555D"/>
    <w:rsid w:val="16B033C1"/>
    <w:rsid w:val="172A203E"/>
    <w:rsid w:val="17CC77CD"/>
    <w:rsid w:val="181518A2"/>
    <w:rsid w:val="186F3B5B"/>
    <w:rsid w:val="19030B77"/>
    <w:rsid w:val="190D4FE4"/>
    <w:rsid w:val="19432555"/>
    <w:rsid w:val="196B12A8"/>
    <w:rsid w:val="1999478A"/>
    <w:rsid w:val="1A212FB9"/>
    <w:rsid w:val="1A382D78"/>
    <w:rsid w:val="1AC143F3"/>
    <w:rsid w:val="1B5866B7"/>
    <w:rsid w:val="1C80404A"/>
    <w:rsid w:val="1CC123E0"/>
    <w:rsid w:val="1D447D37"/>
    <w:rsid w:val="1D8668AE"/>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2DA13A6"/>
    <w:rsid w:val="23335149"/>
    <w:rsid w:val="234D0637"/>
    <w:rsid w:val="23594F79"/>
    <w:rsid w:val="239F0D4D"/>
    <w:rsid w:val="245F39CB"/>
    <w:rsid w:val="249A7C3A"/>
    <w:rsid w:val="25B13474"/>
    <w:rsid w:val="260E2B67"/>
    <w:rsid w:val="267F3995"/>
    <w:rsid w:val="26CB112C"/>
    <w:rsid w:val="271117FA"/>
    <w:rsid w:val="27AE14F2"/>
    <w:rsid w:val="284B18B0"/>
    <w:rsid w:val="29D61083"/>
    <w:rsid w:val="2A597364"/>
    <w:rsid w:val="2ABE6A70"/>
    <w:rsid w:val="2B5E3239"/>
    <w:rsid w:val="2BE27A4C"/>
    <w:rsid w:val="2C1474D3"/>
    <w:rsid w:val="2C934A98"/>
    <w:rsid w:val="2CCE6B70"/>
    <w:rsid w:val="2D102D41"/>
    <w:rsid w:val="2D346321"/>
    <w:rsid w:val="2D510F45"/>
    <w:rsid w:val="2D7F4B97"/>
    <w:rsid w:val="2DAA7BEC"/>
    <w:rsid w:val="2DD651C3"/>
    <w:rsid w:val="2DFC35A8"/>
    <w:rsid w:val="2E04081F"/>
    <w:rsid w:val="2E4E0B64"/>
    <w:rsid w:val="2E512D66"/>
    <w:rsid w:val="2EAA15F1"/>
    <w:rsid w:val="2F1E7ABF"/>
    <w:rsid w:val="2F8425A8"/>
    <w:rsid w:val="30A50FDA"/>
    <w:rsid w:val="30B55BF3"/>
    <w:rsid w:val="324B517A"/>
    <w:rsid w:val="32640FCE"/>
    <w:rsid w:val="32FA1AEF"/>
    <w:rsid w:val="332D2034"/>
    <w:rsid w:val="336D166E"/>
    <w:rsid w:val="338312C9"/>
    <w:rsid w:val="33DB529D"/>
    <w:rsid w:val="345652BB"/>
    <w:rsid w:val="35C234B3"/>
    <w:rsid w:val="36D92F6E"/>
    <w:rsid w:val="36EF0DF7"/>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4470575"/>
    <w:rsid w:val="44D2770C"/>
    <w:rsid w:val="45C939E1"/>
    <w:rsid w:val="45F731E5"/>
    <w:rsid w:val="46022CD5"/>
    <w:rsid w:val="46605375"/>
    <w:rsid w:val="46930E58"/>
    <w:rsid w:val="46B8729D"/>
    <w:rsid w:val="477344BE"/>
    <w:rsid w:val="47DC19B2"/>
    <w:rsid w:val="48510E39"/>
    <w:rsid w:val="48BE622B"/>
    <w:rsid w:val="49BA3A8D"/>
    <w:rsid w:val="49BB0B39"/>
    <w:rsid w:val="49FC14B4"/>
    <w:rsid w:val="4A450C0E"/>
    <w:rsid w:val="4B575BD5"/>
    <w:rsid w:val="4B943597"/>
    <w:rsid w:val="4C0D1F5F"/>
    <w:rsid w:val="4C2E27D6"/>
    <w:rsid w:val="4C5C7ACC"/>
    <w:rsid w:val="4CEE7774"/>
    <w:rsid w:val="4CFD106A"/>
    <w:rsid w:val="4D6205BB"/>
    <w:rsid w:val="4D745FEA"/>
    <w:rsid w:val="4D8631F5"/>
    <w:rsid w:val="4D8D0BA4"/>
    <w:rsid w:val="4DA80C82"/>
    <w:rsid w:val="4E1320A0"/>
    <w:rsid w:val="4F2C520B"/>
    <w:rsid w:val="4F662618"/>
    <w:rsid w:val="50205FB0"/>
    <w:rsid w:val="50383733"/>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702151"/>
    <w:rsid w:val="58895B51"/>
    <w:rsid w:val="594B3199"/>
    <w:rsid w:val="596D051E"/>
    <w:rsid w:val="59781220"/>
    <w:rsid w:val="597C5A64"/>
    <w:rsid w:val="59D23490"/>
    <w:rsid w:val="5A9C6DAD"/>
    <w:rsid w:val="5AE90BA6"/>
    <w:rsid w:val="5C1A7A66"/>
    <w:rsid w:val="5C750867"/>
    <w:rsid w:val="5CAC3384"/>
    <w:rsid w:val="5D3B2F89"/>
    <w:rsid w:val="5D7A58C1"/>
    <w:rsid w:val="5D915590"/>
    <w:rsid w:val="5E106FC4"/>
    <w:rsid w:val="5E5F7152"/>
    <w:rsid w:val="5E62350F"/>
    <w:rsid w:val="5F790642"/>
    <w:rsid w:val="5F7F5D5C"/>
    <w:rsid w:val="60747C06"/>
    <w:rsid w:val="60B84DFE"/>
    <w:rsid w:val="6121132F"/>
    <w:rsid w:val="616D6EA7"/>
    <w:rsid w:val="62D46B79"/>
    <w:rsid w:val="63673486"/>
    <w:rsid w:val="63B91BA8"/>
    <w:rsid w:val="647C6A17"/>
    <w:rsid w:val="64C3259B"/>
    <w:rsid w:val="64C3716F"/>
    <w:rsid w:val="667913A2"/>
    <w:rsid w:val="6685039F"/>
    <w:rsid w:val="66B74552"/>
    <w:rsid w:val="67617EDA"/>
    <w:rsid w:val="68627D37"/>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1F05F1"/>
    <w:rsid w:val="6F30122A"/>
    <w:rsid w:val="6F644BC6"/>
    <w:rsid w:val="6FC9022C"/>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C0119EC"/>
    <w:rsid w:val="7C3A63FE"/>
    <w:rsid w:val="7CAB3884"/>
    <w:rsid w:val="7CBC13E6"/>
    <w:rsid w:val="7D0C7A33"/>
    <w:rsid w:val="7D5C22DC"/>
    <w:rsid w:val="7DF8034B"/>
    <w:rsid w:val="7E0D5873"/>
    <w:rsid w:val="7E2B3051"/>
    <w:rsid w:val="7E5F5455"/>
    <w:rsid w:val="7EA05A30"/>
    <w:rsid w:val="7F1C16CA"/>
    <w:rsid w:val="7F650634"/>
    <w:rsid w:val="E77F765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2020-04-16T11:19:21Z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