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基金代办申报服务</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在甲乙双方保证其主体合法的基础上，甲方委托乙方申请科技型中小企业技术创新基金项目（以下简称“创新基金”）认定提供咨询服务、材料编撰工作及代理申报服务，为促使项目申报成功，甲、乙双方本着平等自愿、互惠互利的原则，达成如下协议，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1.甲方应及时完整地向乙方提供必要的基础材料，协助乙方完成申报材料的编制；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2.甲方根据乙方的咨询意见，及时办理相关附件，保证申报材料的完整并能及时成功递交到政府指定部门；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3.甲方提供的材料和文件必须真实有效；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4.甲方应当按时、足额向乙方支付本合同约定的咨询服务费、材料编制费及代理申报服务费用；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w:t>
      </w:r>
      <w:r>
        <w:rPr>
          <w:rFonts w:hint="eastAsia" w:ascii="宋体" w:hAnsi="宋体" w:eastAsia="宋体" w:cs="宋体"/>
          <w:sz w:val="24"/>
          <w:szCs w:val="24"/>
          <w:u w:val="single"/>
        </w:rPr>
        <w:t>        </w:t>
      </w:r>
      <w:r>
        <w:rPr>
          <w:rFonts w:hint="eastAsia" w:ascii="宋体" w:hAnsi="宋体" w:eastAsia="宋体" w:cs="宋体"/>
          <w:sz w:val="24"/>
          <w:szCs w:val="24"/>
        </w:rPr>
        <w:t>作为该委托项目联系人，负责转达甲方的要求，提供资料、配合乙方等工作，如甲方更换项目联系人，应当书面通知乙方；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6.根据乙方的咨询意见，甲方必须认真研读《科技型中小企业技术创新基金项目管理办法》及《科技型中小企业技术创新基金项目指南》，以确认是否符合申报条件。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提供准确、完整的该项目所需基本资料的前提下，乙方为甲方进行创新基金认定所需的资料编撰及代理申报服务。服务内容包括撰写申报材料，组织附件，执行全部网上申报流程，纸质文件递交到政府指定部门；若乙方在提供上述服务过程中，需甲方提供配合方能完成上述任务时，甲方应当及时配合乙方完成上述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2.乙方应尽职完成本合同约定的代办申报服务内容，维护甲方利益；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1.甲方同意一次性向乙方支付人民币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元，作为乙方咨询服务费及申报材料编制费，该费用不包括申报材料编撰过程中产生的专业机构出具相关文件产生的费用；甲方应当在本合同签订之日起5工作日内一次性付清，总计：人民币（大写）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2.如果甲方通过了创新基金认定并在甲方收到该项目创新基金的第一批拨款后，5个工作日内，一次性向乙方支付国家、省、市拨付的创新基金总额的20% 的费用作为乙方佣金。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3.逾期违约金按照应付总金额每日5‰比例收取，逾期超过30个工作日的，甲方除应当支付每日的逾期违约金外，还应当向乙方支付应总额20%的违约罚金；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4.本委托仅限于乙方为甲方代办创新基金申报服务，如此过程中，甲方委托乙方代为办理专利申请、软件著作权、科技查新、审计报告等其他事宜的，乙方则需另行收费，具体事宜及金额由双方另行约定；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5.申报是否成功和被批准认定时间以主管部门认定公告为准；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四、甲、乙双方共同的责任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服务内容需要，双方的文件往来必须使用本合同中约定的传真号码、通信地址或电子邮件地址传递，传递后应马上告知对方项目联系人签收。在五个工作日内，对方若无确认回函，可视为对方签收和对所提及的事项已确认，因此而造成的损失由有过错的一方自行承担。如一方需要变更传真号码、通信地址或电子邮件地址的，必须书面告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本合同出现下列情形时，合同宣告解除：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1.乙方不按本合同的约定提供代理申报服务，经甲方指出后，仍不改正的，甲方有权解除本合同；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2.甲方的委托事项违反法律或者违反道德规范或者甲方向乙方提供虚假情况的，乙方有权解除本合同，其已支付的审材料编费不予退还；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3.双方确定，出现不可抗力等情形，致使本合同的履行成为不必要或不可能的，可以解除本合同。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本合同出现下列情形时，合同宣告终止：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2.甲乙双方通过书面协议自愿解除本合同；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3.因不可抗力致使本合同目的不能实现的；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4.在委托期限届满之前，当事人一方明确表示或以自己的行为表明不履行合同主要义务的；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5.当事人有其他违约或违法行为致使合同目的不能实现的。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1.如果因为甲方未按照项目申报时效给乙方提供基础资料和补办附件或者提供虚假材料导致项目申报失败，乙方不退还甲方申报材料咨询服务费；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2.因甲方未能及时提供附件材料或者提供的附件材料不符合要求，未被政府指定部门受理，视为乙方已经完成此项目的申报；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3.合作期间，如果甲、乙双方中的任何一方要求终止此合同，因此给对方造成的实际损失应由提出要求的一方负责赔偿。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要变更或补充本合同的，一方应及时书面通知对方，征得对方同意后即可签定书面变更、补充合同，该合同将成为正式合同不可分割的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7F2CD4"/>
    <w:rsid w:val="29C250AA"/>
    <w:rsid w:val="29D61083"/>
    <w:rsid w:val="2A597364"/>
    <w:rsid w:val="2ABE6A70"/>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2020-04-16T13:39:17Z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