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EEE" w:rsidRDefault="005A4EEE" w:rsidP="005A4EEE">
      <w:pPr>
        <w:pStyle w:val="3"/>
      </w:pPr>
      <w:bookmarkStart w:id="0" w:name="_GoBack"/>
      <w:r>
        <w:rPr>
          <w:rFonts w:hint="eastAsia"/>
        </w:rPr>
        <w:t>四川省居民生活供用电合同（示范文本）（CH-2013-01）</w:t>
      </w:r>
    </w:p>
    <w:bookmarkEnd w:id="0"/>
    <w:p w:rsidR="005A4EEE" w:rsidRDefault="005A4EEE" w:rsidP="00EB2535">
      <w:pPr>
        <w:widowControl/>
        <w:shd w:val="clear" w:color="auto" w:fill="FFFFFF" w:themeFill="background1"/>
        <w:wordWrap w:val="0"/>
        <w:spacing w:line="360" w:lineRule="auto"/>
        <w:ind w:firstLine="420"/>
        <w:jc w:val="right"/>
        <w:rPr>
          <w:rFonts w:ascii="宋体" w:eastAsia="宋体" w:hAnsi="宋体" w:cs="宋体"/>
          <w:color w:val="000000"/>
          <w:kern w:val="0"/>
        </w:rPr>
      </w:pPr>
      <w:r>
        <w:rPr>
          <w:rFonts w:ascii="宋体" w:eastAsia="宋体" w:hAnsi="宋体" w:cs="宋体" w:hint="eastAsia"/>
          <w:color w:val="000000"/>
          <w:kern w:val="0"/>
        </w:rPr>
        <w:t>合同编号：</w:t>
      </w:r>
      <w:r w:rsidRPr="00EB2535">
        <w:rPr>
          <w:rFonts w:ascii="宋体" w:eastAsia="宋体" w:hAnsi="宋体" w:cs="宋体" w:hint="eastAsia"/>
          <w:color w:val="000000"/>
          <w:kern w:val="0"/>
          <w:u w:val="single"/>
        </w:rPr>
        <w:t xml:space="preserve">        </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用电人：</w:t>
      </w:r>
      <w:r w:rsidRPr="00EB2535">
        <w:rPr>
          <w:rFonts w:ascii="宋体" w:eastAsia="宋体" w:hAnsi="宋体" w:cs="宋体" w:hint="eastAsia"/>
          <w:color w:val="000000"/>
          <w:kern w:val="0"/>
          <w:u w:val="single"/>
        </w:rPr>
        <w:t xml:space="preserve">              </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供电人：</w:t>
      </w:r>
      <w:r w:rsidRPr="00EB2535">
        <w:rPr>
          <w:rFonts w:ascii="宋体" w:eastAsia="宋体" w:hAnsi="宋体" w:cs="宋体" w:hint="eastAsia"/>
          <w:color w:val="000000"/>
          <w:kern w:val="0"/>
          <w:u w:val="single"/>
        </w:rPr>
        <w:t xml:space="preserve">              </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根据《中华人民共和国合同法》、《中华人民共和国电力法》以及《电力供应与使用条例》等相关规定，遵循平等、公平和诚实信用等原则，双方就居民生活电力供应与使用中的权利和义务协商一致，订立本合同。</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一、用电人用电地址</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市（州）</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县（市、区）</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镇（乡）</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街道（村）</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号</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幢</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单元</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室</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二、供电方式</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供电人以交流低压□220□380伏电源向用电人单电源连续供电。</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三、计量装置</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□普通电能表 □费控智能电能表</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四、用电计量、电价及电费结算</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（一）计量装置为普通电能表</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1．供电人以在用电人的受电点安装的普通电能表记录的抄见电量为依据，按照国家批准的电价和随电量征收的各项费用向用电人定期结算电费。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2．供电人实行□单□双月抄表，用电人于抄表之日起十日内在供电人指定的地点交付电费。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（二）计量装置为费控智能电能表</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用电人向费控智能电能表配置的专用充值购电卡中充值，供电人以在用电人的受电点安装的费控智能电能表记录的电量为依据，按照国家批准的电价和随电量征收的各项费用，由费控智能电能表内置计费系统自动实时结算用电人电费。</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五、供电人权利义务</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（一）按照国家价格管理部门批准的电价和随电量征收的各项费用收取电费，并在发生电价和其他收费调整时，按规定执行。</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lastRenderedPageBreak/>
        <w:t>（二）对使用普通电能表的用电人逾期未交付电费，经催告用电人仍未交付的，供电人有权按照国家规定的程序中止供电。对使用费控智能电能表的用电人，当费控智能电能表充值余额为零时，费控智能电能表的自动断电功能将自动中止供电。</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（三）对违章用电、窃电及其他违约用电行为有权制止，依法追收电费和违约使用电费并中止供电。</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（四）供电人发现用电人计量装置有问题或故障时，供电人对该计量装置进行免费检验，如计量误差超过国家规定的允许范围，则按规定向用电人补收少交的电费或退回多收的电费。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（五）按照国家法律规定和合同约定为用电人提供连续电力供应服务。因故需要停止供电时，按照有关规定事先通知用户或者进行公告。</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（六）在供电设施发生故障时，供电人在国家规定时限或服务承诺时限内组织检修。</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七）使用普通电能表因欠费停止供电的，供电人在用电人交清电费后24小时内恢复供电，不能在24小时内恢复供电的，向用电人说明原因并按用电人要求提供相关证据；使用费控智能电能表的，在用电人提供自身信息完备、准确的情况下，供电人通过费控智能电能表提示功能、手机短信提示功能等，在充值余额小于50元时，提示用电人及时充值。</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（八）在营业场所公告办理用电业务的程序、制度和收费标准，提供客户须知资料。</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（九）根据用电人实际交付电费金额出具电费发票。</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（十）按国家规定对电能计量装置进行检验和维护。</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六、用电人权利义务</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（一）有权对供电质量和服务质量进行监督和投诉。</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用电人对计量装置的准确性有异议的，双方共同委托法定检验机构进行校验，用电人预付校验费。经校验计量误差在国家规定范围内的，用电人承担校验费；计量误差超过国家规定范围的，供电人承担校验费，同时按规定向用电人补收少交的电费或退回多收的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（三）费控智能电能表用户终止用电并按规定程序办完销户手续后，可到所属区域的供电营业厅退取费控智能电能表或充值购电卡中的余额。</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（四）按照合同约定的居民生活用电性质用电。</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（五）按规定程序办理用电变更、中止或终止业务。</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（六）计量装置为普通电能表的，依照用电量和电价及随电量征收的各项费用在约定期限内到供电人指定地点全额交付电费；计量装置为费控智能电能表的，根据费控智能电</w:t>
      </w:r>
      <w:r>
        <w:rPr>
          <w:rFonts w:ascii="宋体" w:eastAsia="宋体" w:hAnsi="宋体" w:cs="宋体" w:hint="eastAsia"/>
          <w:color w:val="000000"/>
          <w:kern w:val="0"/>
        </w:rPr>
        <w:lastRenderedPageBreak/>
        <w:t>能表的计量计费提示功能，及时充值购电。妥善使用和保管充值购电卡，并承担充值购电卡损坏、遗失而引起的相关后果。</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（七）不自行引入或供出电源。</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（八）发现计量装置有异常时，及时通知供电人。</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（九）为供电人对电能计量装置进行的检验和维护提供协助和方便。</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七、电力设施产权分界及运行维护管理责任</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（一）安装在用电人受电点的计量装置出线接线点为电力设施产权分界点（见附件：《居民生活用电登记表》供电线路产权分界示意图），为本合同所述的履行供用电义务的地点。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（二）以电力设施产权分界点为界</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用电人受电点计量装置出线接线点之后，由用电人承担运行维护管理义务及相应的法律后果；用电人受电点计量装置出线接线点之前，由产权设施所有者承担运行维护管理义务及相应的法律后果；用电人受电点计量装置由供电人承担运行维护管理义务及相应的法律后果。</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八、合同变更与解除</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用电人变更、解除合同的，结清电费及其他费用后，向供电人申请办理相关手续。</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九、违约及其他责任</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（一）用电人擅自改变用电性质、转供电或引入电源，擅自移动、开启、拆封电能计量装置的，用电人依法补交差额电费，并承担违约使用电费。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（二）用电人有窃电行为的，按窃电量补交电费，并承担补交电费3倍的违约使用电费。对窃电行为，供电人可制止并当场中止供电。</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（三）使用普通电能表的用电人逾期未足额交付电费的，供电人除追补欠费外，还可向用电人自逾期之日起每日按欠费总额的10/00收取违约金。违约金不足一元的按一元收取。</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四）用电人交清欠费，供电人未在本合同约定期限内恢复供电的，供电人自逾期之日起每日按未供电量对应电费总额的10/00向用电人支付违约金。违约金不足一元的按一元收取。未供电量按用电人前6个月平均用电量计算。</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（五）供电人、用电人违反本合同约定，给对方造成损失的，承担相应的赔偿责任。</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（六）因电力运行事故给用电人造成损害的，供电人依法承担赔偿责任。</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十、免责事由</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lastRenderedPageBreak/>
        <w:t>供电人、用电人受不可抗力、政府行为、维护公共利益等因素的影响，且该影响足以导致任意一方或双方当事人不能履行约定义务，在受影响的范围内免除责任。因迟延履行后发生上述情况的，不免除责任。</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十一、争议解决的方式</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本合同履行中发生争议的，双方可协商解决或申请调解。协商或调解不成的，按下列第</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种方式解决：</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（一）提交</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仲裁委员会仲裁；</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（二）向人民法院提起诉讼。</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十二、生效与终止</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（一）本合同经供用电双方签字或盖章后生效，办理完毕销户手续时终止。</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（二）本合同一式两份，双方各执一份。本合同附件与本合同具有同等法律效力。</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5A4EEE">
        <w:tc>
          <w:tcPr>
            <w:tcW w:w="4258" w:type="dxa"/>
            <w:tcBorders>
              <w:tl2br w:val="nil"/>
              <w:tr2bl w:val="nil"/>
            </w:tcBorders>
          </w:tcPr>
          <w:p w:rsidR="005A4EEE" w:rsidRDefault="005A4EEE" w:rsidP="00EB2535">
            <w:pPr>
              <w:widowControl/>
              <w:shd w:val="clear" w:color="auto" w:fill="FFFFFF" w:themeFill="background1"/>
              <w:wordWrap w:val="0"/>
              <w:spacing w:line="360" w:lineRule="auto"/>
            </w:pPr>
            <w:r>
              <w:rPr>
                <w:rFonts w:ascii="宋体" w:eastAsia="宋体" w:hAnsi="宋体" w:cs="宋体" w:hint="eastAsia"/>
                <w:color w:val="000000"/>
              </w:rPr>
              <w:t>供电人（盖章）：    </w:t>
            </w:r>
          </w:p>
        </w:tc>
        <w:tc>
          <w:tcPr>
            <w:tcW w:w="4258" w:type="dxa"/>
            <w:tcBorders>
              <w:tl2br w:val="nil"/>
              <w:tr2bl w:val="nil"/>
            </w:tcBorders>
          </w:tcPr>
          <w:p w:rsidR="005A4EEE" w:rsidRDefault="005A4EEE" w:rsidP="00EB2535">
            <w:pPr>
              <w:widowControl/>
              <w:shd w:val="clear" w:color="auto" w:fill="FFFFFF" w:themeFill="background1"/>
              <w:wordWrap w:val="0"/>
              <w:spacing w:line="360" w:lineRule="auto"/>
              <w:ind w:firstLine="420"/>
            </w:pPr>
            <w:r>
              <w:rPr>
                <w:rFonts w:ascii="宋体" w:eastAsia="宋体" w:hAnsi="宋体" w:cs="宋体" w:hint="eastAsia"/>
                <w:color w:val="000000"/>
              </w:rPr>
              <w:t>用电人（签章）：</w:t>
            </w:r>
          </w:p>
        </w:tc>
      </w:tr>
      <w:tr w:rsidR="005A4EEE">
        <w:tc>
          <w:tcPr>
            <w:tcW w:w="4258" w:type="dxa"/>
            <w:tcBorders>
              <w:tl2br w:val="nil"/>
              <w:tr2bl w:val="nil"/>
            </w:tcBorders>
          </w:tcPr>
          <w:p w:rsidR="005A4EEE" w:rsidRDefault="005A4EEE" w:rsidP="00EB2535">
            <w:pPr>
              <w:widowControl/>
              <w:shd w:val="clear" w:color="auto" w:fill="FFFFFF" w:themeFill="background1"/>
              <w:wordWrap w:val="0"/>
              <w:spacing w:line="360" w:lineRule="auto"/>
            </w:pPr>
            <w:r>
              <w:rPr>
                <w:rFonts w:ascii="宋体" w:eastAsia="宋体" w:hAnsi="宋体" w:cs="宋体" w:hint="eastAsia"/>
                <w:color w:val="000000"/>
              </w:rPr>
              <w:t>代理人（签章）：    </w:t>
            </w:r>
          </w:p>
        </w:tc>
        <w:tc>
          <w:tcPr>
            <w:tcW w:w="4258" w:type="dxa"/>
            <w:tcBorders>
              <w:tl2br w:val="nil"/>
              <w:tr2bl w:val="nil"/>
            </w:tcBorders>
          </w:tcPr>
          <w:p w:rsidR="005A4EEE" w:rsidRDefault="005A4EEE" w:rsidP="00EB2535">
            <w:pPr>
              <w:widowControl/>
              <w:shd w:val="clear" w:color="auto" w:fill="FFFFFF" w:themeFill="background1"/>
              <w:wordWrap w:val="0"/>
              <w:spacing w:line="360" w:lineRule="auto"/>
              <w:ind w:firstLine="420"/>
            </w:pPr>
            <w:r>
              <w:rPr>
                <w:rFonts w:ascii="宋体" w:eastAsia="宋体" w:hAnsi="宋体" w:cs="宋体" w:hint="eastAsia"/>
                <w:color w:val="000000"/>
              </w:rPr>
              <w:t>代理人（签章）：</w:t>
            </w:r>
          </w:p>
        </w:tc>
      </w:tr>
      <w:tr w:rsidR="005A4EEE">
        <w:tc>
          <w:tcPr>
            <w:tcW w:w="4258" w:type="dxa"/>
            <w:tcBorders>
              <w:tl2br w:val="nil"/>
              <w:tr2bl w:val="nil"/>
            </w:tcBorders>
          </w:tcPr>
          <w:p w:rsidR="005A4EEE" w:rsidRDefault="005A4EEE" w:rsidP="00EB2535">
            <w:pPr>
              <w:widowControl/>
              <w:shd w:val="clear" w:color="auto" w:fill="FFFFFF" w:themeFill="background1"/>
              <w:wordWrap w:val="0"/>
              <w:spacing w:line="360" w:lineRule="auto"/>
            </w:pPr>
            <w:r>
              <w:rPr>
                <w:rFonts w:ascii="宋体" w:eastAsia="宋体" w:hAnsi="宋体" w:cs="宋体" w:hint="eastAsia"/>
                <w:color w:val="000000"/>
              </w:rPr>
              <w:t>时间：</w:t>
            </w:r>
            <w:r w:rsidRPr="00EB2535">
              <w:rPr>
                <w:rFonts w:ascii="宋体" w:eastAsia="宋体" w:hAnsi="宋体" w:cs="宋体" w:hint="eastAsia"/>
                <w:color w:val="000000"/>
                <w:u w:val="single"/>
              </w:rPr>
              <w:t xml:space="preserve">     </w:t>
            </w:r>
            <w:r>
              <w:rPr>
                <w:rFonts w:ascii="宋体" w:eastAsia="宋体" w:hAnsi="宋体" w:cs="宋体" w:hint="eastAsia"/>
                <w:color w:val="000000"/>
              </w:rPr>
              <w:t>年</w:t>
            </w:r>
            <w:r w:rsidRPr="00EB2535">
              <w:rPr>
                <w:rFonts w:ascii="宋体" w:eastAsia="宋体" w:hAnsi="宋体" w:cs="宋体" w:hint="eastAsia"/>
                <w:color w:val="000000"/>
                <w:u w:val="single"/>
              </w:rPr>
              <w:t xml:space="preserve">    </w:t>
            </w:r>
            <w:r>
              <w:rPr>
                <w:rFonts w:ascii="宋体" w:eastAsia="宋体" w:hAnsi="宋体" w:cs="宋体" w:hint="eastAsia"/>
                <w:color w:val="000000"/>
              </w:rPr>
              <w:t>月</w:t>
            </w:r>
            <w:r w:rsidRPr="00EB2535">
              <w:rPr>
                <w:rFonts w:ascii="宋体" w:eastAsia="宋体" w:hAnsi="宋体" w:cs="宋体" w:hint="eastAsia"/>
                <w:color w:val="000000"/>
                <w:u w:val="single"/>
              </w:rPr>
              <w:t xml:space="preserve">    </w:t>
            </w:r>
            <w:r>
              <w:rPr>
                <w:rFonts w:ascii="宋体" w:eastAsia="宋体" w:hAnsi="宋体" w:cs="宋体" w:hint="eastAsia"/>
                <w:color w:val="000000"/>
              </w:rPr>
              <w:t>日    </w:t>
            </w:r>
          </w:p>
        </w:tc>
        <w:tc>
          <w:tcPr>
            <w:tcW w:w="4258" w:type="dxa"/>
            <w:tcBorders>
              <w:tl2br w:val="nil"/>
              <w:tr2bl w:val="nil"/>
            </w:tcBorders>
          </w:tcPr>
          <w:p w:rsidR="005A4EEE" w:rsidRDefault="005A4EEE" w:rsidP="00EB2535">
            <w:pPr>
              <w:widowControl/>
              <w:shd w:val="clear" w:color="auto" w:fill="FFFFFF" w:themeFill="background1"/>
              <w:wordWrap w:val="0"/>
              <w:spacing w:line="360" w:lineRule="auto"/>
              <w:ind w:firstLine="420"/>
            </w:pPr>
            <w:r>
              <w:rPr>
                <w:rFonts w:ascii="宋体" w:eastAsia="宋体" w:hAnsi="宋体" w:cs="宋体" w:hint="eastAsia"/>
                <w:color w:val="000000"/>
              </w:rPr>
              <w:t>时间：</w:t>
            </w:r>
            <w:r w:rsidRPr="00EB2535">
              <w:rPr>
                <w:rFonts w:ascii="宋体" w:eastAsia="宋体" w:hAnsi="宋体" w:cs="宋体" w:hint="eastAsia"/>
                <w:color w:val="000000"/>
                <w:u w:val="single"/>
              </w:rPr>
              <w:t xml:space="preserve">     </w:t>
            </w:r>
            <w:r>
              <w:rPr>
                <w:rFonts w:ascii="宋体" w:eastAsia="宋体" w:hAnsi="宋体" w:cs="宋体" w:hint="eastAsia"/>
                <w:color w:val="000000"/>
              </w:rPr>
              <w:t>年</w:t>
            </w:r>
            <w:r w:rsidRPr="00EB2535">
              <w:rPr>
                <w:rFonts w:ascii="宋体" w:eastAsia="宋体" w:hAnsi="宋体" w:cs="宋体" w:hint="eastAsia"/>
                <w:color w:val="000000"/>
                <w:u w:val="single"/>
              </w:rPr>
              <w:t xml:space="preserve">    </w:t>
            </w:r>
            <w:r>
              <w:rPr>
                <w:rFonts w:ascii="宋体" w:eastAsia="宋体" w:hAnsi="宋体" w:cs="宋体" w:hint="eastAsia"/>
                <w:color w:val="000000"/>
              </w:rPr>
              <w:t>月</w:t>
            </w:r>
            <w:r w:rsidRPr="00EB2535">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5A4EEE" w:rsidRDefault="005A4EEE" w:rsidP="00EB2535">
      <w:pPr>
        <w:widowControl/>
        <w:shd w:val="clear" w:color="auto" w:fill="FFFFFF" w:themeFill="background1"/>
        <w:wordWrap w:val="0"/>
        <w:spacing w:line="360" w:lineRule="auto"/>
        <w:jc w:val="left"/>
        <w:rPr>
          <w:rFonts w:ascii="宋体" w:eastAsia="宋体" w:hAnsi="宋体" w:cs="宋体"/>
          <w:color w:val="000000"/>
          <w:kern w:val="0"/>
        </w:rPr>
      </w:pPr>
    </w:p>
    <w:p w:rsidR="005A4EEE" w:rsidRDefault="005A4EEE">
      <w:pPr>
        <w:widowControl/>
        <w:jc w:val="left"/>
        <w:rPr>
          <w:rFonts w:ascii="宋体" w:eastAsia="宋体" w:hAnsi="宋体" w:cs="宋体"/>
          <w:color w:val="000000"/>
          <w:kern w:val="0"/>
        </w:rPr>
      </w:pPr>
      <w:r>
        <w:rPr>
          <w:rFonts w:ascii="宋体" w:eastAsia="宋体" w:hAnsi="宋体" w:cs="宋体"/>
          <w:color w:val="000000"/>
          <w:kern w:val="0"/>
        </w:rPr>
        <w:br w:type="page"/>
      </w:r>
    </w:p>
    <w:p w:rsidR="005A4EEE" w:rsidRPr="00EB2535" w:rsidRDefault="005A4EEE" w:rsidP="00EB2535">
      <w:pPr>
        <w:widowControl/>
        <w:shd w:val="clear" w:color="auto" w:fill="FFFFFF" w:themeFill="background1"/>
        <w:wordWrap w:val="0"/>
        <w:spacing w:line="360" w:lineRule="auto"/>
        <w:jc w:val="left"/>
        <w:rPr>
          <w:rFonts w:ascii="宋体" w:eastAsia="宋体" w:hAnsi="宋体" w:cs="宋体"/>
          <w:b/>
          <w:color w:val="000000"/>
          <w:kern w:val="0"/>
        </w:rPr>
      </w:pPr>
      <w:r w:rsidRPr="00EB2535">
        <w:rPr>
          <w:rFonts w:ascii="宋体" w:eastAsia="宋体" w:hAnsi="宋体" w:cs="宋体" w:hint="eastAsia"/>
          <w:b/>
          <w:color w:val="000000"/>
          <w:kern w:val="0"/>
        </w:rPr>
        <w:lastRenderedPageBreak/>
        <w:t>附件</w:t>
      </w:r>
    </w:p>
    <w:p w:rsidR="005A4EEE" w:rsidRPr="00EB2535" w:rsidRDefault="005A4EEE" w:rsidP="00EB2535">
      <w:pPr>
        <w:widowControl/>
        <w:shd w:val="clear" w:color="auto" w:fill="FFFFFF" w:themeFill="background1"/>
        <w:wordWrap w:val="0"/>
        <w:spacing w:line="360" w:lineRule="auto"/>
        <w:ind w:firstLine="420"/>
        <w:jc w:val="left"/>
        <w:rPr>
          <w:rFonts w:ascii="宋体" w:eastAsia="宋体" w:hAnsi="宋体" w:cs="宋体"/>
          <w:b/>
          <w:color w:val="000000"/>
          <w:kern w:val="0"/>
        </w:rPr>
      </w:pPr>
      <w:r w:rsidRPr="00EB2535">
        <w:rPr>
          <w:rFonts w:ascii="宋体" w:eastAsia="宋体" w:hAnsi="宋体" w:cs="宋体" w:hint="eastAsia"/>
          <w:b/>
          <w:color w:val="000000"/>
          <w:kern w:val="0"/>
        </w:rPr>
        <w:t>居民生活用电登记表</w:t>
      </w:r>
    </w:p>
    <w:tbl>
      <w:tblPr>
        <w:tblW w:w="5000" w:type="pct"/>
        <w:tblCellMar>
          <w:left w:w="0" w:type="dxa"/>
          <w:right w:w="0" w:type="dxa"/>
        </w:tblCellMar>
        <w:tblLook w:val="04A0" w:firstRow="1" w:lastRow="0" w:firstColumn="1" w:lastColumn="0" w:noHBand="0" w:noVBand="1"/>
      </w:tblPr>
      <w:tblGrid>
        <w:gridCol w:w="1102"/>
        <w:gridCol w:w="199"/>
        <w:gridCol w:w="903"/>
        <w:gridCol w:w="1102"/>
        <w:gridCol w:w="1102"/>
        <w:gridCol w:w="406"/>
        <w:gridCol w:w="1800"/>
        <w:gridCol w:w="1102"/>
        <w:gridCol w:w="570"/>
      </w:tblGrid>
      <w:tr w:rsidR="005A4EEE" w:rsidTr="00EB2535">
        <w:trPr>
          <w:trHeight w:val="300"/>
        </w:trPr>
        <w:tc>
          <w:tcPr>
            <w:tcW w:w="5000" w:type="pct"/>
            <w:gridSpan w:val="9"/>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用电人资料</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用电人</w:t>
            </w:r>
          </w:p>
        </w:tc>
        <w:tc>
          <w:tcPr>
            <w:tcW w:w="2240" w:type="pct"/>
            <w:gridSpan w:val="5"/>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户号</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用电地址</w:t>
            </w:r>
          </w:p>
        </w:tc>
        <w:tc>
          <w:tcPr>
            <w:tcW w:w="2240" w:type="pct"/>
            <w:gridSpan w:val="5"/>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用电容量</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千瓦</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联系电话</w:t>
            </w:r>
          </w:p>
        </w:tc>
        <w:tc>
          <w:tcPr>
            <w:tcW w:w="665"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手机</w:t>
            </w:r>
          </w:p>
        </w:tc>
        <w:tc>
          <w:tcPr>
            <w:tcW w:w="157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座机</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通信地址</w:t>
            </w:r>
          </w:p>
        </w:tc>
        <w:tc>
          <w:tcPr>
            <w:tcW w:w="2240" w:type="pct"/>
            <w:gridSpan w:val="5"/>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邮编</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房产证号</w:t>
            </w:r>
          </w:p>
        </w:tc>
        <w:tc>
          <w:tcPr>
            <w:tcW w:w="2240" w:type="pct"/>
            <w:gridSpan w:val="5"/>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身份证号</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65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用电性质</w:t>
            </w:r>
          </w:p>
        </w:tc>
        <w:tc>
          <w:tcPr>
            <w:tcW w:w="4335" w:type="pct"/>
            <w:gridSpan w:val="8"/>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交费方式</w:t>
            </w:r>
          </w:p>
        </w:tc>
        <w:tc>
          <w:tcPr>
            <w:tcW w:w="4335" w:type="pct"/>
            <w:gridSpan w:val="8"/>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其他说明</w:t>
            </w:r>
          </w:p>
        </w:tc>
        <w:tc>
          <w:tcPr>
            <w:tcW w:w="4335" w:type="pct"/>
            <w:gridSpan w:val="8"/>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5000" w:type="pct"/>
            <w:gridSpan w:val="9"/>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用电代理人资料</w:t>
            </w:r>
          </w:p>
        </w:tc>
      </w:tr>
      <w:tr w:rsidR="005A4EEE" w:rsidTr="00EB2535">
        <w:trPr>
          <w:trHeight w:val="54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代理人姓名</w:t>
            </w:r>
          </w:p>
        </w:tc>
        <w:tc>
          <w:tcPr>
            <w:tcW w:w="1330"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910"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身份证号</w:t>
            </w:r>
          </w:p>
        </w:tc>
        <w:tc>
          <w:tcPr>
            <w:tcW w:w="209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联系电话</w:t>
            </w:r>
          </w:p>
        </w:tc>
        <w:tc>
          <w:tcPr>
            <w:tcW w:w="4335" w:type="pct"/>
            <w:gridSpan w:val="8"/>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p>
        </w:tc>
      </w:tr>
      <w:tr w:rsidR="005A4EEE" w:rsidTr="00EB2535">
        <w:trPr>
          <w:trHeight w:val="2831"/>
        </w:trPr>
        <w:tc>
          <w:tcPr>
            <w:tcW w:w="2660" w:type="pct"/>
            <w:gridSpan w:val="5"/>
            <w:tcBorders>
              <w:top w:val="nil"/>
              <w:left w:val="single" w:sz="4" w:space="0" w:color="auto"/>
              <w:bottom w:val="nil"/>
              <w:right w:val="single" w:sz="8" w:space="0" w:color="000000"/>
            </w:tcBorders>
            <w:tcMar>
              <w:top w:w="15" w:type="dxa"/>
              <w:left w:w="108" w:type="dxa"/>
              <w:bottom w:w="15" w:type="dxa"/>
              <w:right w:w="108" w:type="dxa"/>
            </w:tcMa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供电线路产权分界示意图</w:t>
            </w:r>
          </w:p>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p>
        </w:tc>
        <w:tc>
          <w:tcPr>
            <w:tcW w:w="2340" w:type="pct"/>
            <w:gridSpan w:val="4"/>
            <w:tcBorders>
              <w:top w:val="nil"/>
              <w:left w:val="nil"/>
              <w:bottom w:val="nil"/>
              <w:right w:val="single" w:sz="8" w:space="0" w:color="000000"/>
            </w:tcBorders>
            <w:tcMar>
              <w:top w:w="15" w:type="dxa"/>
              <w:left w:w="108" w:type="dxa"/>
              <w:bottom w:w="15" w:type="dxa"/>
              <w:right w:w="108" w:type="dxa"/>
            </w:tcMa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特别说明：本人特此声明以上所提供的资料完全属实，并愿意签订居民生活用电合同，遵守所签合同中的各项条款。</w:t>
            </w:r>
          </w:p>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 </w:t>
            </w:r>
          </w:p>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用电人签名：</w:t>
            </w:r>
          </w:p>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（或用电人授权认可的经办人签名）</w:t>
            </w:r>
          </w:p>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年月日</w:t>
            </w:r>
          </w:p>
        </w:tc>
      </w:tr>
      <w:tr w:rsidR="005A4EEE" w:rsidTr="00EB2535">
        <w:trPr>
          <w:trHeight w:val="300"/>
        </w:trPr>
        <w:tc>
          <w:tcPr>
            <w:tcW w:w="785" w:type="pct"/>
            <w:gridSpan w:val="2"/>
            <w:vMerge w:val="restar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供电人填写</w:t>
            </w:r>
          </w:p>
        </w:tc>
        <w:tc>
          <w:tcPr>
            <w:tcW w:w="1210" w:type="pct"/>
            <w:gridSpan w:val="2"/>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受理人</w:t>
            </w:r>
          </w:p>
        </w:tc>
        <w:tc>
          <w:tcPr>
            <w:tcW w:w="910" w:type="pct"/>
            <w:gridSpan w:val="2"/>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751" w:type="pct"/>
            <w:gridSpan w:val="2"/>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查询号</w:t>
            </w:r>
          </w:p>
        </w:tc>
        <w:tc>
          <w:tcPr>
            <w:tcW w:w="34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785" w:type="pct"/>
            <w:gridSpan w:val="2"/>
            <w:vMerge/>
            <w:tcBorders>
              <w:top w:val="single" w:sz="8" w:space="0" w:color="000000"/>
              <w:left w:val="single" w:sz="8" w:space="0" w:color="000000"/>
              <w:bottom w:val="single" w:sz="8" w:space="0" w:color="000000"/>
              <w:right w:val="single" w:sz="8" w:space="0" w:color="000000"/>
            </w:tcBorders>
            <w:vAlign w:val="cente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p>
        </w:tc>
        <w:tc>
          <w:tcPr>
            <w:tcW w:w="1210" w:type="pct"/>
            <w:gridSpan w:val="2"/>
            <w:vMerge/>
            <w:tcBorders>
              <w:top w:val="single" w:sz="8" w:space="0" w:color="000000"/>
              <w:left w:val="nil"/>
              <w:bottom w:val="single" w:sz="8" w:space="0" w:color="000000"/>
              <w:right w:val="single" w:sz="8" w:space="0" w:color="000000"/>
            </w:tcBorders>
            <w:vAlign w:val="cente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p>
        </w:tc>
        <w:tc>
          <w:tcPr>
            <w:tcW w:w="910" w:type="pct"/>
            <w:gridSpan w:val="2"/>
            <w:vMerge/>
            <w:tcBorders>
              <w:top w:val="single" w:sz="8" w:space="0" w:color="000000"/>
              <w:left w:val="nil"/>
              <w:bottom w:val="single" w:sz="8" w:space="0" w:color="000000"/>
              <w:right w:val="single" w:sz="8" w:space="0" w:color="000000"/>
            </w:tcBorders>
            <w:vAlign w:val="cente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p>
        </w:tc>
        <w:tc>
          <w:tcPr>
            <w:tcW w:w="1751"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合同编号</w:t>
            </w:r>
          </w:p>
        </w:tc>
        <w:tc>
          <w:tcPr>
            <w:tcW w:w="344"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285"/>
        </w:trPr>
        <w:tc>
          <w:tcPr>
            <w:tcW w:w="785" w:type="pct"/>
            <w:gridSpan w:val="2"/>
            <w:vMerge/>
            <w:tcBorders>
              <w:top w:val="single" w:sz="8" w:space="0" w:color="000000"/>
              <w:left w:val="single" w:sz="8" w:space="0" w:color="000000"/>
              <w:bottom w:val="single" w:sz="8" w:space="0" w:color="000000"/>
              <w:right w:val="single" w:sz="8" w:space="0" w:color="000000"/>
            </w:tcBorders>
            <w:vAlign w:val="cente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p>
        </w:tc>
        <w:tc>
          <w:tcPr>
            <w:tcW w:w="2120" w:type="pct"/>
            <w:gridSpan w:val="4"/>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受理日期：年月日</w:t>
            </w:r>
          </w:p>
        </w:tc>
        <w:tc>
          <w:tcPr>
            <w:tcW w:w="1751"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供电人盖章</w:t>
            </w:r>
          </w:p>
        </w:tc>
        <w:tc>
          <w:tcPr>
            <w:tcW w:w="344"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285"/>
        </w:trPr>
        <w:tc>
          <w:tcPr>
            <w:tcW w:w="785" w:type="pct"/>
            <w:gridSpan w:val="2"/>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备注</w:t>
            </w:r>
          </w:p>
        </w:tc>
        <w:tc>
          <w:tcPr>
            <w:tcW w:w="4215" w:type="pct"/>
            <w:gridSpan w:val="7"/>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bl>
    <w:p w:rsidR="005A4EEE" w:rsidRDefault="005A4EEE" w:rsidP="00EB2535">
      <w:pPr>
        <w:shd w:val="clear" w:color="auto" w:fill="FFFFFF" w:themeFill="background1"/>
        <w:wordWrap w:val="0"/>
        <w:spacing w:line="360" w:lineRule="auto"/>
        <w:rPr>
          <w:rFonts w:ascii="宋体" w:eastAsia="宋体" w:hAnsi="宋体" w:cs="宋体"/>
        </w:rPr>
      </w:pPr>
    </w:p>
    <w:sectPr w:rsidR="005A4EEE"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5A4EEE">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5A4EEE">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135462"/>
    <w:rsid w:val="0024121A"/>
    <w:rsid w:val="002702A4"/>
    <w:rsid w:val="00306250"/>
    <w:rsid w:val="0039574F"/>
    <w:rsid w:val="003E7041"/>
    <w:rsid w:val="004B18FC"/>
    <w:rsid w:val="004B55B4"/>
    <w:rsid w:val="005A4EEE"/>
    <w:rsid w:val="006247B9"/>
    <w:rsid w:val="0077690E"/>
    <w:rsid w:val="00797A21"/>
    <w:rsid w:val="007D3786"/>
    <w:rsid w:val="00896391"/>
    <w:rsid w:val="00933CA6"/>
    <w:rsid w:val="00986631"/>
    <w:rsid w:val="009D02EA"/>
    <w:rsid w:val="00A83E1E"/>
    <w:rsid w:val="00AC0DEF"/>
    <w:rsid w:val="00C1387B"/>
    <w:rsid w:val="00CF6B31"/>
    <w:rsid w:val="00DA1E5E"/>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2019-03-22T10:29:00Z</dcterms:created>
  <dcterms:modified xsi:type="dcterms:W3CDTF">2019-03-22T10:29:00Z</dcterms:modified>
</cp:coreProperties>
</file>