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6AB" w:rsidRDefault="00B116AB">
      <w:pPr>
        <w:pStyle w:val="3"/>
        <w:spacing w:line="360" w:lineRule="auto"/>
      </w:pPr>
      <w:bookmarkStart w:id="0" w:name="_Toc508195977"/>
      <w:bookmarkStart w:id="1" w:name="_Toc508196085"/>
      <w:bookmarkStart w:id="2" w:name="_GoBack"/>
      <w:r>
        <w:rPr>
          <w:rFonts w:hint="eastAsia"/>
        </w:rPr>
        <w:t>集体林地承包合同</w:t>
      </w:r>
      <w:bookmarkEnd w:id="0"/>
      <w:bookmarkEnd w:id="1"/>
    </w:p>
    <w:bookmarkEnd w:id="2"/>
    <w:p w:rsidR="00B116AB" w:rsidRPr="00112BDC" w:rsidRDefault="00B116AB" w:rsidP="00112BDC">
      <w:pPr>
        <w:wordWrap w:val="0"/>
        <w:spacing w:beforeLines="100" w:before="312" w:afterLines="100" w:after="312" w:line="360" w:lineRule="auto"/>
        <w:jc w:val="right"/>
        <w:rPr>
          <w:rFonts w:ascii="仿宋_GB2312" w:eastAsia="宋体" w:hAnsi="宋体"/>
          <w:sz w:val="24"/>
          <w:u w:val="single"/>
        </w:rPr>
      </w:pPr>
      <w:r>
        <w:rPr>
          <w:rFonts w:ascii="仿宋_GB2312" w:eastAsia="宋体" w:hAnsi="宋体" w:hint="eastAsia"/>
          <w:sz w:val="24"/>
        </w:rPr>
        <w:t>合同编号</w:t>
      </w:r>
      <w:r>
        <w:rPr>
          <w:rFonts w:ascii="仿宋_GB2312" w:eastAsia="宋体" w:hAnsi="宋体" w:hint="eastAsia"/>
          <w:sz w:val="24"/>
        </w:rPr>
        <w:t>:</w:t>
      </w:r>
      <w:r>
        <w:rPr>
          <w:rFonts w:ascii="仿宋_GB2312" w:eastAsia="宋体" w:hAnsi="宋体"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发包方：</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乡（镇）</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村</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组</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法定代表人（负责人）:</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    所：</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承包方： </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法定代表人（负责人）：</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    所：</w:t>
      </w: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为维护林地承包双方当事人的合法权益，促进林业发展，根据《中华人民共和国农村土地承包法》、《中华人民共和国森林法》、《中华人民共和国合同法》、《中华人民共和国物权法》等有关法律法规，按照本集体经济组织成员会议三分之二以上成员或者三分之二以上村民代表同意的林地承包方案，在公开、平等、自愿的原则下，经双方（发包方、承包方）协商同意，订立本合同。</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
          <w:bCs/>
          <w:sz w:val="24"/>
        </w:rPr>
        <w:t>第一条 承包林地情况</w:t>
      </w:r>
      <w:r>
        <w:rPr>
          <w:rFonts w:asciiTheme="minorEastAsia" w:hAnsiTheme="minorEastAsia" w:cstheme="minorEastAsia" w:hint="eastAsia"/>
          <w:sz w:val="24"/>
        </w:rPr>
        <w:tab/>
      </w:r>
    </w:p>
    <w:p w:rsidR="00B116AB" w:rsidRDefault="00B116A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发包方将坐落在</w:t>
      </w:r>
      <w:r>
        <w:rPr>
          <w:rFonts w:asciiTheme="minorEastAsia" w:hAnsiTheme="minorEastAsia" w:cstheme="minorEastAsia" w:hint="eastAsia"/>
          <w:color w:val="000000"/>
          <w:sz w:val="24"/>
          <w:u w:val="single"/>
        </w:rPr>
        <w:t xml:space="preserve">                                                   </w:t>
      </w:r>
    </w:p>
    <w:p w:rsidR="00B116AB" w:rsidRDefault="00B116AB">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lastRenderedPageBreak/>
        <w:t xml:space="preserve">          </w:t>
      </w:r>
      <w:r>
        <w:rPr>
          <w:rFonts w:asciiTheme="minorEastAsia" w:hAnsiTheme="minorEastAsia" w:cstheme="minorEastAsia" w:hint="eastAsia"/>
          <w:color w:val="000000"/>
          <w:sz w:val="24"/>
        </w:rPr>
        <w:t>的林地，宗地序号：</w:t>
      </w:r>
      <w:r>
        <w:rPr>
          <w:rFonts w:asciiTheme="minorEastAsia" w:hAnsiTheme="minorEastAsia" w:cstheme="minorEastAsia" w:hint="eastAsia"/>
          <w:color w:val="000000"/>
          <w:sz w:val="24"/>
          <w:u w:val="single"/>
        </w:rPr>
        <w:t xml:space="preserve">                           </w:t>
      </w:r>
    </w:p>
    <w:p w:rsidR="00B116AB" w:rsidRDefault="00B116AB">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宗地编号：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，树种：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，面积共</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亩的林地（具体见下表及附图）林地承包经营权和林木所有权以</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（家庭承包形式为协商一致；“四荒地”非家庭承包形式为招标、拍卖、公开协商等其他形式）的方式发包给承包方，承包期限自</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iCs/>
          <w:color w:val="000000"/>
          <w:sz w:val="24"/>
        </w:rPr>
        <w:t>月</w:t>
      </w:r>
      <w:r>
        <w:rPr>
          <w:rFonts w:asciiTheme="minorEastAsia" w:hAnsiTheme="minorEastAsia" w:cstheme="minorEastAsia" w:hint="eastAsia"/>
          <w:iCs/>
          <w:color w:val="000000"/>
          <w:sz w:val="24"/>
          <w:u w:val="single"/>
        </w:rPr>
        <w:t xml:space="preserve">    </w:t>
      </w:r>
      <w:r>
        <w:rPr>
          <w:rFonts w:asciiTheme="minorEastAsia" w:hAnsiTheme="minorEastAsia" w:cstheme="minorEastAsia" w:hint="eastAsia"/>
          <w:color w:val="000000"/>
          <w:sz w:val="24"/>
        </w:rPr>
        <w:t>日起至</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 xml:space="preserve">年 </w:t>
      </w:r>
      <w:r>
        <w:rPr>
          <w:rFonts w:asciiTheme="minorEastAsia" w:hAnsiTheme="minorEastAsia" w:cstheme="minorEastAsia" w:hint="eastAsia"/>
          <w:i/>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日止共</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p>
    <w:p w:rsidR="00B116AB" w:rsidRDefault="00B116AB">
      <w:pPr>
        <w:spacing w:line="360" w:lineRule="auto"/>
        <w:ind w:leftChars="50" w:left="105" w:firstLineChars="150" w:firstLine="360"/>
        <w:rPr>
          <w:rFonts w:asciiTheme="minorEastAsia" w:hAnsiTheme="minorEastAsia" w:cstheme="minorEastAsia"/>
          <w:color w:val="000000"/>
          <w:sz w:val="24"/>
          <w:u w:val="single"/>
        </w:rPr>
      </w:pPr>
      <w:r>
        <w:rPr>
          <w:rFonts w:asciiTheme="minorEastAsia" w:hAnsiTheme="minorEastAsia" w:cstheme="minorEastAsia" w:hint="eastAsia"/>
          <w:color w:val="000000"/>
          <w:sz w:val="24"/>
        </w:rPr>
        <w:t>上述林地、林木交付现状：</w:t>
      </w:r>
      <w:r>
        <w:rPr>
          <w:rFonts w:asciiTheme="minorEastAsia" w:hAnsiTheme="minorEastAsia" w:cstheme="minorEastAsia" w:hint="eastAsia"/>
          <w:color w:val="000000"/>
          <w:sz w:val="24"/>
          <w:u w:val="single"/>
        </w:rPr>
        <w:t xml:space="preserve">                           </w:t>
      </w:r>
    </w:p>
    <w:p w:rsidR="00B116AB" w:rsidRDefault="00B116AB">
      <w:pPr>
        <w:spacing w:line="360" w:lineRule="auto"/>
        <w:ind w:leftChars="50" w:left="105" w:firstLineChars="150" w:firstLine="360"/>
        <w:rPr>
          <w:rFonts w:asciiTheme="minorEastAsia" w:hAnsiTheme="minorEastAsia" w:cstheme="minorEastAsia"/>
          <w:color w:val="000000"/>
          <w:sz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1382"/>
        <w:gridCol w:w="1127"/>
        <w:gridCol w:w="1158"/>
        <w:gridCol w:w="1057"/>
        <w:gridCol w:w="1183"/>
        <w:gridCol w:w="1528"/>
      </w:tblGrid>
      <w:tr w:rsidR="00B116AB" w:rsidTr="001B0E63">
        <w:trPr>
          <w:cantSplit/>
          <w:trHeight w:val="408"/>
        </w:trPr>
        <w:tc>
          <w:tcPr>
            <w:tcW w:w="519"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833"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地块</w:t>
            </w:r>
          </w:p>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名称</w:t>
            </w:r>
          </w:p>
        </w:tc>
        <w:tc>
          <w:tcPr>
            <w:tcW w:w="679" w:type="pct"/>
            <w:vMerge w:val="restar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面积</w:t>
            </w:r>
          </w:p>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（亩）</w:t>
            </w:r>
          </w:p>
        </w:tc>
        <w:tc>
          <w:tcPr>
            <w:tcW w:w="2969" w:type="pct"/>
            <w:gridSpan w:val="4"/>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四至界线</w:t>
            </w:r>
          </w:p>
        </w:tc>
      </w:tr>
      <w:tr w:rsidR="00B116AB" w:rsidTr="001B0E63">
        <w:trPr>
          <w:cantSplit/>
          <w:trHeight w:val="356"/>
        </w:trPr>
        <w:tc>
          <w:tcPr>
            <w:tcW w:w="519" w:type="pct"/>
            <w:vMerge/>
            <w:vAlign w:val="center"/>
          </w:tcPr>
          <w:p w:rsidR="00B116AB" w:rsidRDefault="00B116AB">
            <w:pPr>
              <w:spacing w:line="360" w:lineRule="auto"/>
              <w:jc w:val="center"/>
              <w:rPr>
                <w:rFonts w:asciiTheme="minorEastAsia" w:hAnsiTheme="minorEastAsia" w:cstheme="minorEastAsia"/>
                <w:color w:val="000000"/>
                <w:sz w:val="24"/>
              </w:rPr>
            </w:pPr>
          </w:p>
        </w:tc>
        <w:tc>
          <w:tcPr>
            <w:tcW w:w="833" w:type="pct"/>
            <w:vMerge/>
          </w:tcPr>
          <w:p w:rsidR="00B116AB" w:rsidRDefault="00B116AB">
            <w:pPr>
              <w:spacing w:line="360" w:lineRule="auto"/>
              <w:jc w:val="center"/>
              <w:rPr>
                <w:rFonts w:asciiTheme="minorEastAsia" w:hAnsiTheme="minorEastAsia" w:cstheme="minorEastAsia"/>
                <w:color w:val="000000"/>
                <w:sz w:val="24"/>
              </w:rPr>
            </w:pPr>
          </w:p>
        </w:tc>
        <w:tc>
          <w:tcPr>
            <w:tcW w:w="679" w:type="pct"/>
            <w:vMerge/>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东</w:t>
            </w: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南</w:t>
            </w: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西</w:t>
            </w: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北</w:t>
            </w: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1</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2</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3</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4</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5</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r w:rsidR="00B116AB" w:rsidTr="001B0E63">
        <w:trPr>
          <w:trHeight w:hRule="exact" w:val="590"/>
        </w:trPr>
        <w:tc>
          <w:tcPr>
            <w:tcW w:w="519" w:type="pct"/>
            <w:vAlign w:val="center"/>
          </w:tcPr>
          <w:p w:rsidR="00B116AB" w:rsidRDefault="00B116AB">
            <w:pPr>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6</w:t>
            </w:r>
          </w:p>
        </w:tc>
        <w:tc>
          <w:tcPr>
            <w:tcW w:w="833" w:type="pct"/>
          </w:tcPr>
          <w:p w:rsidR="00B116AB" w:rsidRDefault="00B116AB">
            <w:pPr>
              <w:spacing w:line="360" w:lineRule="auto"/>
              <w:jc w:val="center"/>
              <w:rPr>
                <w:rFonts w:asciiTheme="minorEastAsia" w:hAnsiTheme="minorEastAsia" w:cstheme="minorEastAsia"/>
                <w:color w:val="000000"/>
                <w:sz w:val="24"/>
              </w:rPr>
            </w:pPr>
          </w:p>
        </w:tc>
        <w:tc>
          <w:tcPr>
            <w:tcW w:w="679" w:type="pct"/>
            <w:vAlign w:val="center"/>
          </w:tcPr>
          <w:p w:rsidR="00B116AB" w:rsidRDefault="00B116AB">
            <w:pPr>
              <w:spacing w:line="360" w:lineRule="auto"/>
              <w:jc w:val="center"/>
              <w:rPr>
                <w:rFonts w:asciiTheme="minorEastAsia" w:hAnsiTheme="minorEastAsia" w:cstheme="minorEastAsia"/>
                <w:color w:val="000000"/>
                <w:sz w:val="24"/>
              </w:rPr>
            </w:pPr>
          </w:p>
        </w:tc>
        <w:tc>
          <w:tcPr>
            <w:tcW w:w="698" w:type="pct"/>
            <w:vAlign w:val="center"/>
          </w:tcPr>
          <w:p w:rsidR="00B116AB" w:rsidRDefault="00B116AB">
            <w:pPr>
              <w:spacing w:line="360" w:lineRule="auto"/>
              <w:jc w:val="center"/>
              <w:rPr>
                <w:rFonts w:asciiTheme="minorEastAsia" w:hAnsiTheme="minorEastAsia" w:cstheme="minorEastAsia"/>
                <w:color w:val="000000"/>
                <w:sz w:val="24"/>
              </w:rPr>
            </w:pPr>
          </w:p>
        </w:tc>
        <w:tc>
          <w:tcPr>
            <w:tcW w:w="637" w:type="pct"/>
            <w:vAlign w:val="center"/>
          </w:tcPr>
          <w:p w:rsidR="00B116AB" w:rsidRDefault="00B116AB">
            <w:pPr>
              <w:spacing w:line="360" w:lineRule="auto"/>
              <w:jc w:val="center"/>
              <w:rPr>
                <w:rFonts w:asciiTheme="minorEastAsia" w:hAnsiTheme="minorEastAsia" w:cstheme="minorEastAsia"/>
                <w:color w:val="000000"/>
                <w:sz w:val="24"/>
              </w:rPr>
            </w:pPr>
          </w:p>
        </w:tc>
        <w:tc>
          <w:tcPr>
            <w:tcW w:w="713" w:type="pct"/>
            <w:vAlign w:val="center"/>
          </w:tcPr>
          <w:p w:rsidR="00B116AB" w:rsidRDefault="00B116AB">
            <w:pPr>
              <w:spacing w:line="360" w:lineRule="auto"/>
              <w:jc w:val="center"/>
              <w:rPr>
                <w:rFonts w:asciiTheme="minorEastAsia" w:hAnsiTheme="minorEastAsia" w:cstheme="minorEastAsia"/>
                <w:color w:val="000000"/>
                <w:sz w:val="24"/>
              </w:rPr>
            </w:pPr>
          </w:p>
        </w:tc>
        <w:tc>
          <w:tcPr>
            <w:tcW w:w="921" w:type="pct"/>
            <w:vAlign w:val="center"/>
          </w:tcPr>
          <w:p w:rsidR="00B116AB" w:rsidRDefault="00B116AB">
            <w:pPr>
              <w:spacing w:line="360" w:lineRule="auto"/>
              <w:jc w:val="center"/>
              <w:rPr>
                <w:rFonts w:asciiTheme="minorEastAsia" w:hAnsiTheme="minorEastAsia" w:cstheme="minorEastAsia"/>
                <w:color w:val="000000"/>
                <w:sz w:val="24"/>
              </w:rPr>
            </w:pPr>
          </w:p>
        </w:tc>
      </w:tr>
    </w:tbl>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第二条 承包林地的用途</w:t>
      </w:r>
    </w:p>
    <w:p w:rsidR="00B116AB" w:rsidRDefault="00B116AB">
      <w:pPr>
        <w:spacing w:line="360" w:lineRule="auto"/>
        <w:ind w:firstLineChars="200" w:firstLine="480"/>
        <w:rPr>
          <w:rFonts w:asciiTheme="minorEastAsia" w:hAnsiTheme="minorEastAsia" w:cstheme="minorEastAsia"/>
          <w:sz w:val="24"/>
        </w:rPr>
      </w:pPr>
      <w:proofErr w:type="gramStart"/>
      <w:r>
        <w:rPr>
          <w:rFonts w:asciiTheme="minorEastAsia" w:hAnsiTheme="minorEastAsia" w:cstheme="minorEastAsia" w:hint="eastAsia"/>
          <w:sz w:val="24"/>
        </w:rPr>
        <w:t>本承包</w:t>
      </w:r>
      <w:proofErr w:type="gramEnd"/>
      <w:r>
        <w:rPr>
          <w:rFonts w:asciiTheme="minorEastAsia" w:hAnsiTheme="minorEastAsia" w:cstheme="minorEastAsia" w:hint="eastAsia"/>
          <w:sz w:val="24"/>
        </w:rPr>
        <w:t>林地必须用于林业生产，未经依法批准不得用于非林业建设或者其他建设。</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第三条 承包价款及支付方式、期限</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（一）承包价款</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本合同约定林地承包价款总计为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元人民币（大写：</w:t>
      </w:r>
      <w:r>
        <w:rPr>
          <w:rFonts w:asciiTheme="minorEastAsia" w:hAnsiTheme="minorEastAsia" w:cstheme="minorEastAsia" w:hint="eastAsia"/>
          <w:sz w:val="24"/>
          <w:u w:val="single"/>
        </w:rPr>
        <w:t xml:space="preserve">          </w:t>
      </w:r>
    </w:p>
    <w:p w:rsidR="00B116AB" w:rsidRDefault="00B116AB">
      <w:pPr>
        <w:spacing w:line="360" w:lineRule="auto"/>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r>
        <w:rPr>
          <w:rFonts w:asciiTheme="minorEastAsia" w:hAnsiTheme="minorEastAsia" w:cstheme="minorEastAsia" w:hint="eastAsia"/>
          <w:sz w:val="24"/>
        </w:rPr>
        <w:t xml:space="preserve">人民币）                                                                                                                                                                                                                     </w:t>
      </w:r>
      <w:r>
        <w:rPr>
          <w:rFonts w:asciiTheme="minorEastAsia" w:hAnsiTheme="minorEastAsia" w:cstheme="minorEastAsia" w:hint="eastAsia"/>
          <w:sz w:val="24"/>
          <w:u w:val="single"/>
        </w:rPr>
        <w:t xml:space="preserve">                                               </w:t>
      </w:r>
    </w:p>
    <w:p w:rsidR="00B116AB" w:rsidRDefault="00B116AB">
      <w:pPr>
        <w:spacing w:line="360" w:lineRule="auto"/>
        <w:ind w:leftChars="152" w:left="319" w:firstLineChars="100" w:firstLine="240"/>
        <w:rPr>
          <w:rFonts w:asciiTheme="minorEastAsia" w:hAnsiTheme="minorEastAsia" w:cstheme="minorEastAsia"/>
          <w:sz w:val="24"/>
        </w:rPr>
      </w:pPr>
      <w:r>
        <w:rPr>
          <w:rFonts w:asciiTheme="minorEastAsia" w:hAnsiTheme="minorEastAsia" w:cstheme="minorEastAsia" w:hint="eastAsia"/>
          <w:sz w:val="24"/>
        </w:rPr>
        <w:t>1.林地承包价格为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元/亩·年，承包</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年合计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2.林地上附属建筑及设施承包价款为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3.林地上林木承包款为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元人民币。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（二）价款支付方式及支付时间</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承包方采取下列第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种方式支付：</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1.现金方式一次性支付：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2.分期付款支付: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3.其他方式支付：</w:t>
      </w:r>
    </w:p>
    <w:p w:rsidR="00B116AB" w:rsidRDefault="00B116AB">
      <w:pPr>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u w:val="single"/>
        </w:rPr>
        <w:t xml:space="preserve">                                                   </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第四条 双方的权利和义务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（一）发包方的权利和义务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1.权利</w:t>
      </w:r>
    </w:p>
    <w:p w:rsidR="00B116AB" w:rsidRDefault="00B116AB">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（1）发包方有权监督承包方依照本合同约定的用途合理利用和保护林地。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（2）发包方有权制止承包方损害承包林地和其他森林资源的行为。</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（3）承包方对承包林地造成永久性损害的，发包方有权向承包方要求损害赔偿。</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（4）发包方有基于承包林地所有权获得收益的权利。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（5）发包方有权要求承包方按规划完成造林任务。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（1）确认前述承包的林地、林木产权清晰，没有权属纠纷和经济纠纷；没有作为抵押或担保物。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（2）维护承包方的林地承包经营权，不得擅自变更、解除承包合同。</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（3）尊重承包方的生产经营自主权，不得干涉承包方依法经合同约定进行正常的生产经营活动。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（4）协助承包方申领林权证。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（5）协助承包方做好护林防火、林业有害生物防治等工作。</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（6）依照本合同约定为承包方提供生产、技术、信息等服务。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（二）承包方的权利和义务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1.权利</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（1）依法享有承包林地使用、收益权；有权自主组织生产经营和依法处置林木及产品；有权依法自主决定承包林地是否流转和流转的方式。</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（2）享受国家优惠政策和扶持。</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以家庭承包方式承包林地的，在承包期内，承包方家庭内部成员分户需要对承包林地进行分割经营的，可经家庭成员协商一致后，以原承包合同为依据，各分立的家庭分别与发包方签订承包合同，并依法申办林权证变更登记手续。</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（4）林地承包的承包人死亡，其继承人可以在承包期内依法继续承包。</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（5）承包期内承包林地被依法征用、占用的，有权依法获得相应的补偿。</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2.义务</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（1）维持承包林地的林业用途，不得用于非林建设或者使之闲置荒芜。属生态公益林的，不得改变公益林性质。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（2）落实造林和管护措施。荒山应自承包合同生效之日起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年内参照国家有关造林标准造林。林木采伐后应在当年或次年更新。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依法保护和合理利用林地，不得自行或准许他人在承包林地内实施毁林开垦、采石、挖沙、取土等给林地造成永久性损害的行为。在承包林地内发生毁林和乱占滥用林地行为时，应积极采取措施予以制止，并及时向有关部门报告。</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（4）保护好野生动物、植物资源，依法做好森林防火和林业有害生物防治工作。</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（5）在承包期内转让林地承包经营权的，应经发包方同意，否则转让无效；转包（</w:t>
      </w:r>
      <w:proofErr w:type="gramStart"/>
      <w:r>
        <w:rPr>
          <w:rFonts w:asciiTheme="minorEastAsia" w:hAnsiTheme="minorEastAsia" w:cstheme="minorEastAsia" w:hint="eastAsia"/>
          <w:sz w:val="24"/>
        </w:rPr>
        <w:t>仅家庭</w:t>
      </w:r>
      <w:proofErr w:type="gramEnd"/>
      <w:r>
        <w:rPr>
          <w:rFonts w:asciiTheme="minorEastAsia" w:hAnsiTheme="minorEastAsia" w:cstheme="minorEastAsia" w:hint="eastAsia"/>
          <w:sz w:val="24"/>
        </w:rPr>
        <w:t>承包方式适用）、出租、互换（</w:t>
      </w:r>
      <w:proofErr w:type="gramStart"/>
      <w:r>
        <w:rPr>
          <w:rFonts w:asciiTheme="minorEastAsia" w:hAnsiTheme="minorEastAsia" w:cstheme="minorEastAsia" w:hint="eastAsia"/>
          <w:sz w:val="24"/>
        </w:rPr>
        <w:t>仅家</w:t>
      </w:r>
      <w:proofErr w:type="gramEnd"/>
      <w:r>
        <w:rPr>
          <w:rFonts w:asciiTheme="minorEastAsia" w:hAnsiTheme="minorEastAsia" w:cstheme="minorEastAsia" w:hint="eastAsia"/>
          <w:sz w:val="24"/>
        </w:rPr>
        <w:t>庭承包方式适用）或者以其他方式流转林地承包经营权的，应当报发包方备案。</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（6）及时、足额支付承包费。如遇国家征用、占用林地，配合林业等有关部门办理相关手续。</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（7）配合发包</w:t>
      </w:r>
      <w:proofErr w:type="gramStart"/>
      <w:r>
        <w:rPr>
          <w:rFonts w:asciiTheme="minorEastAsia" w:hAnsiTheme="minorEastAsia" w:cstheme="minorEastAsia" w:hint="eastAsia"/>
          <w:sz w:val="24"/>
        </w:rPr>
        <w:t>方执行</w:t>
      </w:r>
      <w:proofErr w:type="gramEnd"/>
      <w:r>
        <w:rPr>
          <w:rFonts w:asciiTheme="minorEastAsia" w:hAnsiTheme="minorEastAsia" w:cstheme="minorEastAsia" w:hint="eastAsia"/>
          <w:sz w:val="24"/>
        </w:rPr>
        <w:t>县（市、区）、乡（镇、办事处）林业总体规划、重点工程实施方案，组织本集体经济组织内部的林业基础设施建设。</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第五条 特别约定</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（一）发包方通过招标、拍卖、公开协商等方式发包“四荒地”林地经营权的，应提供：</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1.发包方《林权证》复印件；</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2.依法经本集体经济组织成员的村民会议三分之二以上成员或者村民代表会议三分之二以上村民代表同意承包的票</w:t>
      </w:r>
      <w:proofErr w:type="gramStart"/>
      <w:r>
        <w:rPr>
          <w:rFonts w:asciiTheme="minorEastAsia" w:hAnsiTheme="minorEastAsia" w:cstheme="minorEastAsia" w:hint="eastAsia"/>
          <w:sz w:val="24"/>
        </w:rPr>
        <w:t>决记录</w:t>
      </w:r>
      <w:proofErr w:type="gramEnd"/>
      <w:r>
        <w:rPr>
          <w:rFonts w:asciiTheme="minorEastAsia" w:hAnsiTheme="minorEastAsia" w:cstheme="minorEastAsia" w:hint="eastAsia"/>
          <w:sz w:val="24"/>
        </w:rPr>
        <w:t>复印件；</w:t>
      </w:r>
    </w:p>
    <w:p w:rsidR="00B116AB" w:rsidRDefault="00B116AB">
      <w:pPr>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3.乡（镇）政府批准意见书。</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（二）其他：</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u w:val="single"/>
        </w:rPr>
        <w:lastRenderedPageBreak/>
        <w:t xml:space="preserve">                                                     </w:t>
      </w:r>
    </w:p>
    <w:p w:rsidR="00B116AB" w:rsidRDefault="00B116AB">
      <w:pPr>
        <w:spacing w:line="360" w:lineRule="auto"/>
        <w:ind w:leftChars="284" w:left="596"/>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第六条 合同的变更、解除和终止</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（一）本合同法律效力不受双方（发包方、承包方）负责人变动影响，也不因集体经济组织的分立或合并而变更或解除，任何一方不得擅自终止合同。</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（二）合同有效期间，如因政府依法征占用该承包林地，或者因不可抗力因素致使合同全部不能履行时，本合同自动终止。</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（三）承包合同期满后，承包方在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日内将原承包的林地交还给发包方。未采伐林木的处理方式约定为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（四）合同终止或解除后，原由承包方修建的道路、灌溉渠等设施，处置方式为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。修建的房屋及其他可拆卸设施，处置方式为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（五）合同期满后，如承包方继续承包经营该林地，在同等条件下，承包方拥有优先承包经营权，但需与发包方重新协商签订合同。</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第七条 违约责任</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（一）本合同签订后，如因发包方发包</w:t>
      </w:r>
      <w:proofErr w:type="gramStart"/>
      <w:r>
        <w:rPr>
          <w:rFonts w:asciiTheme="minorEastAsia" w:hAnsiTheme="minorEastAsia" w:cstheme="minorEastAsia" w:hint="eastAsia"/>
          <w:color w:val="000000"/>
          <w:sz w:val="24"/>
        </w:rPr>
        <w:t>地手续</w:t>
      </w:r>
      <w:proofErr w:type="gramEnd"/>
      <w:r>
        <w:rPr>
          <w:rFonts w:asciiTheme="minorEastAsia" w:hAnsiTheme="minorEastAsia" w:cstheme="minorEastAsia" w:hint="eastAsia"/>
          <w:color w:val="000000"/>
          <w:sz w:val="24"/>
        </w:rPr>
        <w:t>不合法或因发包地权属不清产生纠纷，致使合同全部或部分不能履行的，视为发包方违约，由发包方负责协调处理，由此给承包方造成经济损失的，由发包方负责全额赔偿。</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（二）承包期内，发包方擅自收回承包林地，或者干预承包方正常的生产经营活动，使承包方遭受损失的，应承担赔偿责任。</w:t>
      </w:r>
    </w:p>
    <w:p w:rsidR="00B116AB" w:rsidRDefault="00B116AB">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承包期内，承包方未按规定用途使用承包地、改变林地用途，未按合同约定落实造林营林等经营及管护责任，或者造成林地永久性损害的，经劝阻无效发包方可依法解除合同，并由承包方承担林地恢复费用。</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（四）承包方不按约定缴纳林地承包费用，按日承担应缴资金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sz w:val="24"/>
        </w:rPr>
        <w:t>‰的滞纳金；逾期超过30日不缴纳的，发包方可解除合同收回承包林地。</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（五）承包方在承包的林地上非法建筑、开矿等改变林地用途的，发包方有权终止合同，并视情节交由相关部门处理。</w:t>
      </w:r>
    </w:p>
    <w:p w:rsidR="00B116AB" w:rsidRDefault="00B116AB">
      <w:pPr>
        <w:spacing w:line="360" w:lineRule="auto"/>
        <w:ind w:firstLineChars="250" w:firstLine="60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第八条 合同争议的解决方式</w:t>
      </w:r>
    </w:p>
    <w:p w:rsidR="00B116AB" w:rsidRDefault="00B116AB">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本合同在履行过程中发生的合同争议，由双方协商解决；协商不成的，由村民委员会、乡（镇）政府等进行调解;协商、调解不成的，可采取以下第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种方式解决：</w:t>
      </w:r>
    </w:p>
    <w:p w:rsidR="00B116AB" w:rsidRDefault="00B116AB">
      <w:pPr>
        <w:spacing w:line="360" w:lineRule="auto"/>
        <w:ind w:left="645"/>
        <w:rPr>
          <w:rFonts w:asciiTheme="minorEastAsia" w:hAnsiTheme="minorEastAsia" w:cstheme="minorEastAsia"/>
          <w:color w:val="000000"/>
          <w:sz w:val="24"/>
        </w:rPr>
      </w:pPr>
      <w:r>
        <w:rPr>
          <w:rFonts w:asciiTheme="minorEastAsia" w:hAnsiTheme="minorEastAsia" w:cstheme="minorEastAsia" w:hint="eastAsia"/>
          <w:color w:val="000000"/>
          <w:sz w:val="24"/>
        </w:rPr>
        <w:t>（一）向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仲裁委员会申请仲裁；</w:t>
      </w:r>
    </w:p>
    <w:p w:rsidR="00B116AB" w:rsidRDefault="00B116AB">
      <w:pPr>
        <w:spacing w:line="360" w:lineRule="auto"/>
        <w:ind w:left="645"/>
        <w:rPr>
          <w:rFonts w:asciiTheme="minorEastAsia" w:hAnsiTheme="minorEastAsia" w:cstheme="minorEastAsia"/>
          <w:color w:val="000000"/>
          <w:sz w:val="24"/>
        </w:rPr>
      </w:pPr>
      <w:r>
        <w:rPr>
          <w:rFonts w:asciiTheme="minorEastAsia" w:hAnsiTheme="minorEastAsia" w:cstheme="minorEastAsia" w:hint="eastAsia"/>
          <w:color w:val="000000"/>
          <w:sz w:val="24"/>
        </w:rPr>
        <w:t>（二）向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人民法院申请诉讼。</w:t>
      </w:r>
    </w:p>
    <w:p w:rsidR="00B116AB" w:rsidRDefault="00B116AB">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第九条 其他约定</w:t>
      </w:r>
    </w:p>
    <w:p w:rsidR="00B116AB" w:rsidRDefault="00B116AB">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B116AB" w:rsidRDefault="00B116AB">
      <w:pPr>
        <w:spacing w:line="360" w:lineRule="auto"/>
        <w:ind w:firstLineChars="200" w:firstLine="480"/>
        <w:rPr>
          <w:rFonts w:asciiTheme="minorEastAsia" w:hAnsiTheme="minorEastAsia" w:cstheme="minorEastAsia"/>
          <w:b/>
          <w:bCs/>
          <w:sz w:val="24"/>
        </w:rPr>
      </w:pPr>
      <w:r>
        <w:rPr>
          <w:rFonts w:asciiTheme="minorEastAsia" w:hAnsiTheme="minorEastAsia" w:cstheme="minorEastAsia" w:hint="eastAsia"/>
          <w:b/>
          <w:bCs/>
          <w:sz w:val="24"/>
        </w:rPr>
        <w:t>第十条 其他事项</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（一）本合同履行期间，如有未尽事宜，应由双方共同协商，</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补充规定，补充规定与本合同具有同等效力。</w:t>
      </w:r>
    </w:p>
    <w:p w:rsidR="00B116AB" w:rsidRDefault="00B116AB">
      <w:pPr>
        <w:spacing w:line="360" w:lineRule="auto"/>
        <w:ind w:leftChars="100" w:left="210" w:firstLineChars="100" w:firstLine="240"/>
        <w:rPr>
          <w:rFonts w:asciiTheme="minorEastAsia" w:hAnsiTheme="minorEastAsia" w:cstheme="minorEastAsia"/>
          <w:sz w:val="24"/>
        </w:rPr>
      </w:pPr>
      <w:r>
        <w:rPr>
          <w:rFonts w:asciiTheme="minorEastAsia" w:hAnsiTheme="minorEastAsia" w:cstheme="minorEastAsia" w:hint="eastAsia"/>
          <w:sz w:val="24"/>
        </w:rPr>
        <w:t>（二）本合同一式</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份，由发包方、承包方、乡镇林业工作站、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各执一份。</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（三）本合同自签订之日起生效。</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[以下无正文，为合同签署页]</w:t>
      </w:r>
    </w:p>
    <w:p w:rsidR="00B116AB" w:rsidRDefault="00B116AB">
      <w:pPr>
        <w:spacing w:line="360" w:lineRule="auto"/>
        <w:ind w:firstLineChars="200" w:firstLine="480"/>
        <w:rPr>
          <w:rFonts w:asciiTheme="minorEastAsia" w:hAnsiTheme="minorEastAsia" w:cstheme="minorEastAsia"/>
          <w:sz w:val="24"/>
        </w:rPr>
      </w:pPr>
    </w:p>
    <w:tbl>
      <w:tblPr>
        <w:tblStyle w:val="a3"/>
        <w:tblW w:w="8516" w:type="dxa"/>
        <w:tblLayout w:type="fixed"/>
        <w:tblLook w:val="04A0" w:firstRow="1" w:lastRow="0" w:firstColumn="1" w:lastColumn="0" w:noHBand="0" w:noVBand="1"/>
      </w:tblPr>
      <w:tblGrid>
        <w:gridCol w:w="4258"/>
        <w:gridCol w:w="4258"/>
      </w:tblGrid>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发包方（盖章）：　　　　　　　</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承包方（盖章）：</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负责人（签字）</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负责人（签字）</w:t>
            </w:r>
            <w:r>
              <w:rPr>
                <w:rFonts w:asciiTheme="minorEastAsia" w:hAnsiTheme="minorEastAsia" w:cstheme="minorEastAsia" w:hint="eastAsia"/>
                <w:sz w:val="24"/>
              </w:rPr>
              <w:t>:</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签订日期：</w:t>
            </w:r>
            <w:r>
              <w:rPr>
                <w:rFonts w:asciiTheme="minorEastAsia" w:hAnsiTheme="minorEastAsia" w:cstheme="minorEastAsia" w:hint="eastAsia"/>
                <w:sz w:val="24"/>
              </w:rPr>
              <w:t xml:space="preserve">   </w:t>
            </w:r>
            <w:r>
              <w:rPr>
                <w:rFonts w:asciiTheme="minorEastAsia" w:hAnsiTheme="minorEastAsia" w:cstheme="minorEastAsia" w:hint="eastAsia"/>
                <w:sz w:val="24"/>
              </w:rPr>
              <w:t>年</w:t>
            </w:r>
            <w:r>
              <w:rPr>
                <w:rFonts w:asciiTheme="minorEastAsia" w:hAnsiTheme="minorEastAsia" w:cstheme="minorEastAsia" w:hint="eastAsia"/>
                <w:sz w:val="24"/>
              </w:rPr>
              <w:t xml:space="preserve">  </w:t>
            </w:r>
            <w:r>
              <w:rPr>
                <w:rFonts w:asciiTheme="minorEastAsia" w:hAnsiTheme="minorEastAsia" w:cstheme="minorEastAsia" w:hint="eastAsia"/>
                <w:sz w:val="24"/>
              </w:rPr>
              <w:t>月</w:t>
            </w:r>
            <w:r>
              <w:rPr>
                <w:rFonts w:asciiTheme="minorEastAsia" w:hAnsiTheme="minorEastAsia" w:cstheme="minorEastAsia" w:hint="eastAsia"/>
                <w:sz w:val="24"/>
              </w:rPr>
              <w:t xml:space="preserve">  </w:t>
            </w:r>
            <w:r>
              <w:rPr>
                <w:rFonts w:asciiTheme="minorEastAsia" w:hAnsiTheme="minorEastAsia" w:cstheme="minorEastAsia" w:hint="eastAsia"/>
                <w:sz w:val="24"/>
              </w:rPr>
              <w:t>日</w:t>
            </w:r>
            <w:r>
              <w:rPr>
                <w:rFonts w:asciiTheme="minorEastAsia" w:hAnsiTheme="minorEastAsia" w:cstheme="minorEastAsia" w:hint="eastAsia"/>
                <w:sz w:val="24"/>
              </w:rPr>
              <w:t xml:space="preserve">                     </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签订日期：</w:t>
            </w:r>
            <w:r>
              <w:rPr>
                <w:rFonts w:asciiTheme="minorEastAsia" w:hAnsiTheme="minorEastAsia" w:cstheme="minorEastAsia" w:hint="eastAsia"/>
                <w:sz w:val="24"/>
              </w:rPr>
              <w:t xml:space="preserve">   </w:t>
            </w:r>
            <w:r>
              <w:rPr>
                <w:rFonts w:asciiTheme="minorEastAsia" w:hAnsiTheme="minorEastAsia" w:cstheme="minorEastAsia" w:hint="eastAsia"/>
                <w:sz w:val="24"/>
              </w:rPr>
              <w:t>年</w:t>
            </w:r>
            <w:r>
              <w:rPr>
                <w:rFonts w:asciiTheme="minorEastAsia" w:hAnsiTheme="minorEastAsia" w:cstheme="minorEastAsia" w:hint="eastAsia"/>
                <w:sz w:val="24"/>
              </w:rPr>
              <w:t xml:space="preserve">  </w:t>
            </w:r>
            <w:r>
              <w:rPr>
                <w:rFonts w:asciiTheme="minorEastAsia" w:hAnsiTheme="minorEastAsia" w:cstheme="minorEastAsia" w:hint="eastAsia"/>
                <w:sz w:val="24"/>
              </w:rPr>
              <w:t>月</w:t>
            </w:r>
            <w:r>
              <w:rPr>
                <w:rFonts w:asciiTheme="minorEastAsia" w:hAnsiTheme="minorEastAsia" w:cstheme="minorEastAsia" w:hint="eastAsia"/>
                <w:sz w:val="24"/>
              </w:rPr>
              <w:t xml:space="preserve">  </w:t>
            </w:r>
            <w:r>
              <w:rPr>
                <w:rFonts w:asciiTheme="minorEastAsia" w:hAnsiTheme="minorEastAsia" w:cstheme="minorEastAsia" w:hint="eastAsia"/>
                <w:sz w:val="24"/>
              </w:rPr>
              <w:t>日</w:t>
            </w:r>
          </w:p>
        </w:tc>
      </w:tr>
      <w:tr w:rsidR="00B116AB">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color w:val="000000"/>
                <w:sz w:val="24"/>
                <w:u w:val="single"/>
              </w:rPr>
            </w:pPr>
            <w:proofErr w:type="gramStart"/>
            <w:r>
              <w:rPr>
                <w:rFonts w:asciiTheme="minorEastAsia" w:hAnsiTheme="minorEastAsia" w:cstheme="minorEastAsia" w:hint="eastAsia"/>
                <w:sz w:val="24"/>
              </w:rPr>
              <w:t>鉴证</w:t>
            </w:r>
            <w:proofErr w:type="gramEnd"/>
            <w:r>
              <w:rPr>
                <w:rFonts w:asciiTheme="minorEastAsia" w:hAnsiTheme="minorEastAsia" w:cstheme="minorEastAsia" w:hint="eastAsia"/>
                <w:sz w:val="24"/>
              </w:rPr>
              <w:t>方（盖章）：</w:t>
            </w:r>
          </w:p>
        </w:tc>
        <w:tc>
          <w:tcPr>
            <w:tcW w:w="4258" w:type="dxa"/>
            <w:tcBorders>
              <w:top w:val="nil"/>
              <w:left w:val="nil"/>
              <w:bottom w:val="nil"/>
              <w:right w:val="nil"/>
            </w:tcBorders>
          </w:tcPr>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负责人（签字）：</w:t>
            </w:r>
          </w:p>
        </w:tc>
      </w:tr>
    </w:tbl>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附件：1.承包林地四至范围附图（图幅比例）</w:t>
      </w:r>
    </w:p>
    <w:p w:rsidR="00B116AB" w:rsidRDefault="00B116A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       2.其他</w:t>
      </w: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ind w:firstLineChars="200" w:firstLine="480"/>
        <w:rPr>
          <w:rFonts w:asciiTheme="minorEastAsia" w:hAnsiTheme="minorEastAsia" w:cstheme="minorEastAsia"/>
          <w:sz w:val="24"/>
        </w:rPr>
      </w:pPr>
    </w:p>
    <w:p w:rsidR="00B116AB" w:rsidRDefault="00B116AB">
      <w:pPr>
        <w:spacing w:line="360" w:lineRule="auto"/>
        <w:rPr>
          <w:rFonts w:asciiTheme="minorEastAsia" w:hAnsiTheme="minorEastAsia" w:cstheme="minorEastAsia"/>
          <w:sz w:val="24"/>
        </w:rPr>
      </w:pPr>
    </w:p>
    <w:sectPr w:rsidR="00B116AB"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B116AB">
    <w:pPr>
      <w:pStyle w:val="a8"/>
      <w:rPr>
        <w:rStyle w:val="a4"/>
        <w:u w:val="single"/>
      </w:rPr>
    </w:pPr>
    <w:r>
      <w:rPr>
        <w:rStyle w:val="a4"/>
        <w:rFonts w:hint="eastAsia"/>
        <w:u w:val="single"/>
      </w:rPr>
      <w:t xml:space="preserve">                                                                                               </w:t>
    </w:r>
  </w:p>
  <w:p w:rsidR="0030369F" w:rsidRDefault="00B116AB">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B116AB">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2019-03-16T08:04:00Z</dcterms:created>
  <dcterms:modified xsi:type="dcterms:W3CDTF">2019-03-16T08:04:00Z</dcterms:modified>
</cp:coreProperties>
</file>