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二手房产买卖合同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社会信用统一代码/身份证号：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根据《中华人民共和国合同法》、《中华人民共和国城市房地产管理法》及有关法律、法规的规定，买卖双方在平等、自愿、公平、协商一致的基础上就本合同所涉房</w:t>
      </w:r>
      <w:bookmarkStart w:id="0" w:name="_GoBack"/>
      <w:r>
        <w:rPr>
          <w:rFonts w:hint="eastAsia" w:ascii="宋体" w:hAnsi="宋体" w:eastAsia="宋体" w:cs="宋体"/>
          <w:sz w:val="24"/>
          <w:szCs w:val="24"/>
        </w:rPr>
        <w:t>地产转</w:t>
      </w:r>
      <w:bookmarkEnd w:id="0"/>
      <w:r>
        <w:rPr>
          <w:rFonts w:hint="eastAsia" w:ascii="宋体" w:hAnsi="宋体" w:eastAsia="宋体" w:cs="宋体"/>
          <w:sz w:val="24"/>
          <w:szCs w:val="24"/>
        </w:rPr>
        <w:t>让事宜，达成如下协议：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转让标的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卖方所转让房地产（下称该房产）坐落于：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土地使用权证号：</w:t>
      </w:r>
      <w:r>
        <w:rPr>
          <w:rFonts w:hint="eastAsia" w:ascii="宋体" w:hAnsi="宋体" w:eastAsia="宋体" w:cs="宋体"/>
          <w:sz w:val="24"/>
          <w:szCs w:val="24"/>
          <w:u w:val="single"/>
        </w:rPr>
        <w:t>        </w:t>
      </w:r>
      <w:r>
        <w:rPr>
          <w:rFonts w:hint="eastAsia" w:ascii="宋体" w:hAnsi="宋体" w:eastAsia="宋体" w:cs="宋体"/>
          <w:sz w:val="24"/>
          <w:szCs w:val="24"/>
        </w:rPr>
        <w:t>，房产权证号：</w:t>
      </w:r>
      <w:r>
        <w:rPr>
          <w:rFonts w:hint="eastAsia" w:ascii="宋体" w:hAnsi="宋体" w:eastAsia="宋体" w:cs="宋体"/>
          <w:sz w:val="24"/>
          <w:szCs w:val="24"/>
          <w:u w:val="single"/>
        </w:rPr>
        <w:t>        </w:t>
      </w:r>
      <w:r>
        <w:rPr>
          <w:rFonts w:hint="eastAsia" w:ascii="宋体" w:hAnsi="宋体" w:eastAsia="宋体" w:cs="宋体"/>
          <w:sz w:val="24"/>
          <w:szCs w:val="24"/>
        </w:rPr>
        <w:t>，登记建筑面积为：</w:t>
      </w:r>
      <w:r>
        <w:rPr>
          <w:rFonts w:hint="eastAsia" w:ascii="宋体" w:hAnsi="宋体" w:eastAsia="宋体" w:cs="宋体"/>
          <w:sz w:val="24"/>
          <w:szCs w:val="24"/>
          <w:u w:val="single"/>
        </w:rPr>
        <w:t>    </w:t>
      </w:r>
      <w:r>
        <w:rPr>
          <w:rFonts w:hint="eastAsia" w:ascii="宋体" w:hAnsi="宋体" w:eastAsia="宋体" w:cs="宋体"/>
          <w:sz w:val="24"/>
          <w:szCs w:val="24"/>
        </w:rPr>
        <w:t>平方米。套内建筑面积为：</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该房地产土地使用权年限自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该房地产约定交付的附属设施设备、装饰装修、相关物品等在签订本协议前，已经双方现场确认，均无异议。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房地产产权现状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该房地产没有设定抵押也未被查封，卖方对该房地产享有完全的处分权。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房地产租约现状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该房地产所附租约现状为第</w:t>
      </w:r>
      <w:r>
        <w:rPr>
          <w:rFonts w:hint="eastAsia" w:ascii="宋体" w:hAnsi="宋体" w:eastAsia="宋体" w:cs="宋体"/>
          <w:sz w:val="24"/>
          <w:szCs w:val="24"/>
          <w:u w:val="single"/>
        </w:rPr>
        <w:t>    </w:t>
      </w:r>
      <w:r>
        <w:rPr>
          <w:rFonts w:hint="eastAsia" w:ascii="宋体" w:hAnsi="宋体" w:eastAsia="宋体" w:cs="宋体"/>
          <w:sz w:val="24"/>
          <w:szCs w:val="24"/>
        </w:rPr>
        <w:t>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该房地产没有租约；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该房地产之上存有租约，卖方须于本合同签订时将承租人放弃优先购买权的书面文件及租赁合同交予买方。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附着于该房地产之上的户口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如该房地产所附着有卖方户口，基于保证买方办理房产过户登记后，应享有完全的处分权，卖方保证于收到房地产转让总价款之日起30日内迁出，逾期则以该房地产转让总价款为基数按日万分之</w:t>
      </w:r>
      <w:r>
        <w:rPr>
          <w:rFonts w:hint="eastAsia" w:ascii="宋体" w:hAnsi="宋体" w:eastAsia="宋体" w:cs="宋体"/>
          <w:sz w:val="24"/>
          <w:szCs w:val="24"/>
          <w:u w:val="single"/>
        </w:rPr>
        <w:t>   五  </w:t>
      </w:r>
      <w:r>
        <w:rPr>
          <w:rFonts w:hint="eastAsia" w:ascii="宋体" w:hAnsi="宋体" w:eastAsia="宋体" w:cs="宋体"/>
          <w:sz w:val="24"/>
          <w:szCs w:val="24"/>
        </w:rPr>
        <w:t>向买方支付违约金。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转让价款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该房地产转让总价款为人民币：人民币（大写）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税费承担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双方约定，由买方承担办理相关过户手续双方按规定应缴纳的一切可能产生的税、费。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买方不按约定缴纳相关税费，导致交易不能继续进行的，买方不得因此解除合同，本合同应继续履行，但违约方应承担违约责任，赔偿给守约方造成的损失。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日前一次性付清全部房款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买方逾期付款的违约责任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买方逾期付款的，卖方有权要求买方要求买方以未付款项为基数，按日万分之</w:t>
      </w:r>
      <w:r>
        <w:rPr>
          <w:rFonts w:hint="eastAsia" w:ascii="宋体" w:hAnsi="宋体" w:eastAsia="宋体" w:cs="宋体"/>
          <w:sz w:val="24"/>
          <w:szCs w:val="24"/>
          <w:u w:val="single"/>
        </w:rPr>
        <w:t>    </w:t>
      </w:r>
      <w:r>
        <w:rPr>
          <w:rFonts w:hint="eastAsia" w:ascii="宋体" w:hAnsi="宋体" w:eastAsia="宋体" w:cs="宋体"/>
          <w:sz w:val="24"/>
          <w:szCs w:val="24"/>
        </w:rPr>
        <w:t xml:space="preserve"> 支付违约金，合同继续履行。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房地产交付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卖方应当于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日将该房地产交付买方，并履行下列手续：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买卖双方共同对该房地产及附属设施设备、装饰装修、相关物品等事项进行验收，记录水、电、气表的读数，并办理交接手续；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交付该房地产钥匙；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延迟交房的违约责任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除本合同另有约定外，卖方未按合同约定的期限将该房地产交付买方，自约定的交付期限届满次日起至实际交付日止，卖方以该房地产转让总价款为基数按日万分之</w:t>
      </w:r>
      <w:r>
        <w:rPr>
          <w:rFonts w:hint="eastAsia" w:ascii="宋体" w:hAnsi="宋体" w:eastAsia="宋体" w:cs="宋体"/>
          <w:sz w:val="24"/>
          <w:szCs w:val="24"/>
          <w:u w:val="single"/>
        </w:rPr>
        <w:t>  五  </w:t>
      </w:r>
      <w:r>
        <w:rPr>
          <w:rFonts w:hint="eastAsia" w:ascii="宋体" w:hAnsi="宋体" w:eastAsia="宋体" w:cs="宋体"/>
          <w:sz w:val="24"/>
          <w:szCs w:val="24"/>
        </w:rPr>
        <w:t xml:space="preserve"> 向买方支付违约金，合同继续履行。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附随债务的处理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卖方在交付该房地产时，应将附随的水费、电费、煤气费、电话费、有线电视费、物业管理服务费、垃圾清运费等费用结清，单据交买方确认，否则买方有权从交房保证金中抵扣上述欠费。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产权转移登记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买卖双方须在签订本合同</w:t>
      </w:r>
      <w:r>
        <w:rPr>
          <w:rFonts w:hint="eastAsia" w:ascii="宋体" w:hAnsi="宋体" w:eastAsia="宋体" w:cs="宋体"/>
          <w:sz w:val="24"/>
          <w:szCs w:val="24"/>
          <w:u w:val="single"/>
        </w:rPr>
        <w:t>    </w:t>
      </w:r>
      <w:r>
        <w:rPr>
          <w:rFonts w:hint="eastAsia" w:ascii="宋体" w:hAnsi="宋体" w:eastAsia="宋体" w:cs="宋体"/>
          <w:sz w:val="24"/>
          <w:szCs w:val="24"/>
        </w:rPr>
        <w:t>日内，共同向房地产权登记机关申请办理转移登记手续，卖方应按照行政机关的登记手续要求积极协助。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在收文回执载明的回复日期届满之日起</w:t>
      </w:r>
      <w:r>
        <w:rPr>
          <w:rFonts w:hint="eastAsia" w:ascii="宋体" w:hAnsi="宋体" w:eastAsia="宋体" w:cs="宋体"/>
          <w:sz w:val="24"/>
          <w:szCs w:val="24"/>
          <w:u w:val="single"/>
        </w:rPr>
        <w:t>    </w:t>
      </w:r>
      <w:r>
        <w:rPr>
          <w:rFonts w:hint="eastAsia" w:ascii="宋体" w:hAnsi="宋体" w:eastAsia="宋体" w:cs="宋体"/>
          <w:sz w:val="24"/>
          <w:szCs w:val="24"/>
        </w:rPr>
        <w:t>日内，买方须按本约定办理交纳税费的手续。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其他违约责任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任何一方不履行本合同约定义务，致合同目的不能实现，守约方有权选择定金罚则或要求对方支付该房地产总价款</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因不可抗力不能履行本合同的，根据不可抗力的影响，部分或者全部免除责任，但法律另有规定的除外。因不可抗力不能按照约定履行合同的一方当事人应当及时告知另一方当事人，并自不可抗力结束之日起</w:t>
      </w:r>
      <w:r>
        <w:rPr>
          <w:rFonts w:hint="eastAsia" w:ascii="宋体" w:hAnsi="宋体" w:eastAsia="宋体" w:cs="宋体"/>
          <w:sz w:val="24"/>
          <w:szCs w:val="24"/>
          <w:u w:val="single"/>
        </w:rPr>
        <w:t>    </w:t>
      </w:r>
      <w:r>
        <w:rPr>
          <w:rFonts w:hint="eastAsia" w:ascii="宋体" w:hAnsi="宋体" w:eastAsia="宋体" w:cs="宋体"/>
          <w:sz w:val="24"/>
          <w:szCs w:val="24"/>
        </w:rPr>
        <w:t>日内向另一方提供证明。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本合同与其他文件的冲突解决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买卖双方在本合同签订之前的承诺及协议，如有与本合同不相符的，以本合同为准。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本合同共有附件</w:t>
      </w:r>
      <w:r>
        <w:rPr>
          <w:rFonts w:hint="eastAsia" w:ascii="宋体" w:hAnsi="宋体" w:eastAsia="宋体" w:cs="宋体"/>
          <w:sz w:val="24"/>
          <w:szCs w:val="24"/>
          <w:u w:val="single"/>
        </w:rPr>
        <w:t>    </w:t>
      </w:r>
      <w:r>
        <w:rPr>
          <w:rFonts w:hint="eastAsia" w:ascii="宋体" w:hAnsi="宋体" w:eastAsia="宋体" w:cs="宋体"/>
          <w:sz w:val="24"/>
          <w:szCs w:val="24"/>
        </w:rPr>
        <w:t>份。合同附件为本合同组成部分，具有同等法律效力。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第十七条 法律适用与纠纷解决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第十八条 合同数量及持有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w:t>
      </w:r>
      <w:r>
        <w:rPr>
          <w:rFonts w:hint="eastAsia" w:ascii="宋体" w:hAnsi="宋体" w:eastAsia="宋体" w:cs="宋体"/>
          <w:sz w:val="24"/>
          <w:szCs w:val="24"/>
        </w:rPr>
        <w:t>份，卖方</w:t>
      </w:r>
      <w:r>
        <w:rPr>
          <w:rFonts w:hint="eastAsia" w:ascii="宋体" w:hAnsi="宋体" w:eastAsia="宋体" w:cs="宋体"/>
          <w:sz w:val="24"/>
          <w:szCs w:val="24"/>
          <w:u w:val="single"/>
        </w:rPr>
        <w:t>    </w:t>
      </w:r>
      <w:r>
        <w:rPr>
          <w:rFonts w:hint="eastAsia" w:ascii="宋体" w:hAnsi="宋体" w:eastAsia="宋体" w:cs="宋体"/>
          <w:sz w:val="24"/>
          <w:szCs w:val="24"/>
        </w:rPr>
        <w:t>份，买方</w:t>
      </w:r>
      <w:r>
        <w:rPr>
          <w:rFonts w:hint="eastAsia" w:ascii="宋体" w:hAnsi="宋体" w:eastAsia="宋体" w:cs="宋体"/>
          <w:sz w:val="24"/>
          <w:szCs w:val="24"/>
          <w:u w:val="single"/>
        </w:rPr>
        <w:t>    </w:t>
      </w:r>
      <w:r>
        <w:rPr>
          <w:rFonts w:hint="eastAsia" w:ascii="宋体" w:hAnsi="宋体" w:eastAsia="宋体" w:cs="宋体"/>
          <w:sz w:val="24"/>
          <w:szCs w:val="24"/>
        </w:rPr>
        <w:t>份，其他交有关部门，均具同等法律效力。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第十九条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附件一：双方其他约定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一、关于水、电、天然气交接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（1）交付方方只对以下记录之前的水、电、气使用额度承担责任：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经双方共同确认水电气分户表记录,水表交接读数记录截止于</w:t>
      </w:r>
      <w:r>
        <w:rPr>
          <w:rFonts w:hint="eastAsia" w:ascii="宋体" w:hAnsi="宋体" w:eastAsia="宋体" w:cs="宋体"/>
          <w:sz w:val="24"/>
          <w:szCs w:val="24"/>
          <w:u w:val="single"/>
        </w:rPr>
        <w:t>        </w:t>
      </w:r>
      <w:r>
        <w:rPr>
          <w:rFonts w:hint="eastAsia" w:ascii="宋体" w:hAnsi="宋体" w:eastAsia="宋体" w:cs="宋体"/>
          <w:sz w:val="24"/>
          <w:szCs w:val="24"/>
        </w:rPr>
        <w:t>（吨），大写：</w:t>
      </w:r>
      <w:r>
        <w:rPr>
          <w:rFonts w:hint="eastAsia" w:ascii="宋体" w:hAnsi="宋体" w:eastAsia="宋体" w:cs="宋体"/>
          <w:sz w:val="24"/>
          <w:szCs w:val="24"/>
          <w:u w:val="single"/>
        </w:rPr>
        <w:t>        </w:t>
      </w:r>
      <w:r>
        <w:rPr>
          <w:rFonts w:hint="eastAsia" w:ascii="宋体" w:hAnsi="宋体" w:eastAsia="宋体" w:cs="宋体"/>
          <w:sz w:val="24"/>
          <w:szCs w:val="24"/>
        </w:rPr>
        <w:t>（吨）；电表交接读数记录截止于</w:t>
      </w:r>
      <w:r>
        <w:rPr>
          <w:rFonts w:hint="eastAsia" w:ascii="宋体" w:hAnsi="宋体" w:eastAsia="宋体" w:cs="宋体"/>
          <w:sz w:val="24"/>
          <w:szCs w:val="24"/>
          <w:u w:val="single"/>
        </w:rPr>
        <w:t>    </w:t>
      </w:r>
      <w:r>
        <w:rPr>
          <w:rFonts w:hint="eastAsia" w:ascii="宋体" w:hAnsi="宋体" w:eastAsia="宋体" w:cs="宋体"/>
          <w:sz w:val="24"/>
          <w:szCs w:val="24"/>
        </w:rPr>
        <w:t>（度），大写：</w:t>
      </w:r>
      <w:r>
        <w:rPr>
          <w:rFonts w:hint="eastAsia" w:ascii="宋体" w:hAnsi="宋体" w:eastAsia="宋体" w:cs="宋体"/>
          <w:sz w:val="24"/>
          <w:szCs w:val="24"/>
          <w:u w:val="single"/>
        </w:rPr>
        <w:t>        </w:t>
      </w:r>
      <w:r>
        <w:rPr>
          <w:rFonts w:hint="eastAsia" w:ascii="宋体" w:hAnsi="宋体" w:eastAsia="宋体" w:cs="宋体"/>
          <w:sz w:val="24"/>
          <w:szCs w:val="24"/>
        </w:rPr>
        <w:t>（度）；天然气表交接读数记录截止于</w:t>
      </w:r>
      <w:r>
        <w:rPr>
          <w:rFonts w:hint="eastAsia" w:ascii="宋体" w:hAnsi="宋体" w:eastAsia="宋体" w:cs="宋体"/>
          <w:sz w:val="24"/>
          <w:szCs w:val="24"/>
          <w:u w:val="single"/>
        </w:rPr>
        <w:t>    </w:t>
      </w:r>
      <w:r>
        <w:rPr>
          <w:rFonts w:hint="eastAsia" w:ascii="宋体" w:hAnsi="宋体" w:eastAsia="宋体" w:cs="宋体"/>
          <w:sz w:val="24"/>
          <w:szCs w:val="24"/>
        </w:rPr>
        <w:t>（立方），大写：</w:t>
      </w:r>
      <w:r>
        <w:rPr>
          <w:rFonts w:hint="eastAsia" w:ascii="宋体" w:hAnsi="宋体" w:eastAsia="宋体" w:cs="宋体"/>
          <w:sz w:val="24"/>
          <w:szCs w:val="24"/>
          <w:u w:val="single"/>
        </w:rPr>
        <w:t>        </w:t>
      </w:r>
      <w:r>
        <w:rPr>
          <w:rFonts w:hint="eastAsia" w:ascii="宋体" w:hAnsi="宋体" w:eastAsia="宋体" w:cs="宋体"/>
          <w:sz w:val="24"/>
          <w:szCs w:val="24"/>
        </w:rPr>
        <w:t>（立方）。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（2）接收方对交接记录之后产生的水电气使用费用承担负责，交付方自交接之日起不再对增加的水电气使用负责。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交付方：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接收方：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附件二：房地产交接清单</w:t>
      </w:r>
    </w:p>
    <w:tbl>
      <w:tblPr>
        <w:tblStyle w:val="6"/>
        <w:tblW w:w="178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38"/>
        <w:gridCol w:w="270"/>
        <w:gridCol w:w="135"/>
        <w:gridCol w:w="4438"/>
        <w:gridCol w:w="2747"/>
        <w:gridCol w:w="1267"/>
        <w:gridCol w:w="1173"/>
        <w:gridCol w:w="183"/>
        <w:gridCol w:w="66"/>
        <w:gridCol w:w="135"/>
        <w:gridCol w:w="135"/>
        <w:gridCol w:w="2747"/>
        <w:gridCol w:w="27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房地产地址</w:t>
            </w:r>
          </w:p>
        </w:tc>
        <w:tc>
          <w:tcPr>
            <w:tcW w:w="16044" w:type="dxa"/>
            <w:gridSpan w:val="1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市              区（县）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882" w:type="dxa"/>
            <w:gridSpan w:val="1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设施标识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水表编号</w:t>
            </w:r>
          </w:p>
        </w:tc>
        <w:tc>
          <w:tcPr>
            <w:tcW w:w="405"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电表编号</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89"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煤气表编号</w:t>
            </w:r>
          </w:p>
        </w:tc>
        <w:tc>
          <w:tcPr>
            <w:tcW w:w="27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882" w:type="dxa"/>
            <w:gridSpan w:val="1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家电家私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区域</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物品名称</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244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区域</w:t>
            </w: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物品名称</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客      厅</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沙发</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0" w:type="dxa"/>
            <w:gridSpan w:val="2"/>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主    人    房</w:t>
            </w: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床</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茶几</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0"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床头柜</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吊灯</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0"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灯</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空调</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0"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空调</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电视机</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0"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衣柜</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餐桌及餐椅</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0"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梳妆台</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地毯</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0"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电视机</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窗帘</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0"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窗帘</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鞋柜</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0"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地毯</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床</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0" w:type="dxa"/>
            <w:gridSpan w:val="2"/>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厨     房</w:t>
            </w: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煤气灶</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床头柜</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0"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电冰箱</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灯</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0"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抽油烟机</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空调</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0"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消毒碗柜</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衣柜</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0"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微波炉</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桌椅</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0"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II</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床</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0" w:type="dxa"/>
            <w:gridSpan w:val="2"/>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浴    室</w:t>
            </w: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洗衣机</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床头柜</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0"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热水器</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灯</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0"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浴缸</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空调</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0"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洗脸盆</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衣柜</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0"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桌椅</w:t>
            </w:r>
          </w:p>
        </w:tc>
        <w:tc>
          <w:tcPr>
            <w:tcW w:w="45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0"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882" w:type="dxa"/>
            <w:gridSpan w:val="1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买卖双方同意按上述标准交付房地产。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卖方：　　　　　　　　　　　　　　买方：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w:t>
            </w:r>
          </w:p>
        </w:tc>
        <w:tc>
          <w:tcPr>
            <w:tcW w:w="4843"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内容（押金/开通费）</w:t>
            </w:r>
          </w:p>
        </w:tc>
        <w:tc>
          <w:tcPr>
            <w:tcW w:w="5187"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总额</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已结/未结</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管理费</w:t>
            </w:r>
          </w:p>
        </w:tc>
        <w:tc>
          <w:tcPr>
            <w:tcW w:w="4843"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87"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水费</w:t>
            </w:r>
          </w:p>
        </w:tc>
        <w:tc>
          <w:tcPr>
            <w:tcW w:w="4843"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87"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电费</w:t>
            </w:r>
          </w:p>
        </w:tc>
        <w:tc>
          <w:tcPr>
            <w:tcW w:w="4843"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87"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煤气费</w:t>
            </w:r>
          </w:p>
        </w:tc>
        <w:tc>
          <w:tcPr>
            <w:tcW w:w="4843"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87"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有线电视</w:t>
            </w:r>
          </w:p>
        </w:tc>
        <w:tc>
          <w:tcPr>
            <w:tcW w:w="4843"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87"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tc>
        <w:tc>
          <w:tcPr>
            <w:tcW w:w="4843"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87"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8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882" w:type="dxa"/>
            <w:gridSpan w:val="13"/>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1.对于上述情况，买方经验收认为符合房地产交付条件，同意接收。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2.本交接清单一式二份，卖方、买方各执一份。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卖    方</w:t>
            </w:r>
          </w:p>
        </w:tc>
        <w:tc>
          <w:tcPr>
            <w:tcW w:w="8857"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135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买    方</w:t>
            </w:r>
          </w:p>
        </w:tc>
        <w:tc>
          <w:tcPr>
            <w:tcW w:w="5831"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9F5DAB"/>
    <w:rsid w:val="043636E7"/>
    <w:rsid w:val="0611258E"/>
    <w:rsid w:val="06C0621B"/>
    <w:rsid w:val="0A8B487D"/>
    <w:rsid w:val="0C15460C"/>
    <w:rsid w:val="0C2003D3"/>
    <w:rsid w:val="0EA83F48"/>
    <w:rsid w:val="0EC43EED"/>
    <w:rsid w:val="0FB43B66"/>
    <w:rsid w:val="10A24CE5"/>
    <w:rsid w:val="12173857"/>
    <w:rsid w:val="13373EC3"/>
    <w:rsid w:val="13855D13"/>
    <w:rsid w:val="16CC1504"/>
    <w:rsid w:val="16E3232E"/>
    <w:rsid w:val="16EA5DFC"/>
    <w:rsid w:val="16FB02DC"/>
    <w:rsid w:val="17FA1CE1"/>
    <w:rsid w:val="185965E4"/>
    <w:rsid w:val="18632D74"/>
    <w:rsid w:val="1A5B7282"/>
    <w:rsid w:val="1B067642"/>
    <w:rsid w:val="1B7F71AD"/>
    <w:rsid w:val="1BD224E1"/>
    <w:rsid w:val="1CD6764D"/>
    <w:rsid w:val="1D1716AF"/>
    <w:rsid w:val="20D878D2"/>
    <w:rsid w:val="25C77597"/>
    <w:rsid w:val="263819DA"/>
    <w:rsid w:val="270F702A"/>
    <w:rsid w:val="28EB185D"/>
    <w:rsid w:val="29EB1520"/>
    <w:rsid w:val="2C055EAD"/>
    <w:rsid w:val="2C5B61DF"/>
    <w:rsid w:val="2EAB01EE"/>
    <w:rsid w:val="2EF370C0"/>
    <w:rsid w:val="30C350AA"/>
    <w:rsid w:val="33545FE3"/>
    <w:rsid w:val="35896136"/>
    <w:rsid w:val="38A947D2"/>
    <w:rsid w:val="3B2009C3"/>
    <w:rsid w:val="3B26758A"/>
    <w:rsid w:val="3CF64770"/>
    <w:rsid w:val="3D5D5E1C"/>
    <w:rsid w:val="3EAD6EC3"/>
    <w:rsid w:val="3EFB3BBB"/>
    <w:rsid w:val="405F5973"/>
    <w:rsid w:val="41D15F60"/>
    <w:rsid w:val="426016E2"/>
    <w:rsid w:val="42EF6355"/>
    <w:rsid w:val="482A7FA0"/>
    <w:rsid w:val="49101346"/>
    <w:rsid w:val="493B7801"/>
    <w:rsid w:val="4C6D0EE2"/>
    <w:rsid w:val="4C960277"/>
    <w:rsid w:val="4E9B0BB8"/>
    <w:rsid w:val="4F5C6BF4"/>
    <w:rsid w:val="503D4AA8"/>
    <w:rsid w:val="52EF391F"/>
    <w:rsid w:val="54057D8A"/>
    <w:rsid w:val="58520059"/>
    <w:rsid w:val="586B5E01"/>
    <w:rsid w:val="5BAB6918"/>
    <w:rsid w:val="5BFE1126"/>
    <w:rsid w:val="5CDC6E1D"/>
    <w:rsid w:val="5E2E2DE6"/>
    <w:rsid w:val="5E514E69"/>
    <w:rsid w:val="5EB6607F"/>
    <w:rsid w:val="5F2D73BC"/>
    <w:rsid w:val="607E12C1"/>
    <w:rsid w:val="60C94938"/>
    <w:rsid w:val="61A362F5"/>
    <w:rsid w:val="622E4F5F"/>
    <w:rsid w:val="62740218"/>
    <w:rsid w:val="631D0B67"/>
    <w:rsid w:val="642C64A8"/>
    <w:rsid w:val="6592072C"/>
    <w:rsid w:val="66626D09"/>
    <w:rsid w:val="66FD639C"/>
    <w:rsid w:val="674B373E"/>
    <w:rsid w:val="675F1434"/>
    <w:rsid w:val="6BEF6B2D"/>
    <w:rsid w:val="6BFE1841"/>
    <w:rsid w:val="6C733900"/>
    <w:rsid w:val="6C7535D2"/>
    <w:rsid w:val="6CA00197"/>
    <w:rsid w:val="6ED73EAC"/>
    <w:rsid w:val="7219300A"/>
    <w:rsid w:val="725D19B0"/>
    <w:rsid w:val="7818293C"/>
    <w:rsid w:val="79241A3C"/>
    <w:rsid w:val="7A731FC3"/>
    <w:rsid w:val="7ADF7CF3"/>
    <w:rsid w:val="7BA6538D"/>
    <w:rsid w:val="7D9F2E4D"/>
    <w:rsid w:val="7DC002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2020-03-30T11:44:35Z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