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 w:ascii="宋体" w:hAnsi="宋体" w:eastAsia="宋体" w:cs="宋体"/>
        </w:rPr>
      </w:pPr>
      <w:bookmarkStart w:id="11" w:name="_GoBack"/>
      <w:r>
        <w:rPr>
          <w:rFonts w:hint="eastAsia" w:ascii="宋体" w:hAnsi="宋体" w:eastAsia="宋体" w:cs="宋体"/>
        </w:rPr>
        <w:t>橱柜订购安装合同</w:t>
      </w:r>
    </w:p>
    <w:p>
      <w:pPr>
        <w:shd w:val="clear" w:color="auto" w:fill="FFFFFF"/>
        <w:wordWrap w:val="0"/>
        <w:spacing w:after="312" w:afterLines="100" w:line="360" w:lineRule="auto"/>
        <w:jc w:val="right"/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合同编号：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甲方（经销商）：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       </w:t>
      </w:r>
    </w:p>
    <w:p>
      <w:pPr>
        <w:shd w:val="clear" w:color="auto" w:fill="FFFFFF"/>
        <w:spacing w:after="312" w:afterLines="100"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乙方（订购方）：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       </w:t>
      </w:r>
    </w:p>
    <w:p>
      <w:pPr>
        <w:shd w:val="clear" w:color="auto" w:fill="FFFFFF"/>
        <w:spacing w:before="312" w:beforeLines="100" w:after="312" w:afterLines="100"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根据《中华人民共和国合同法》的有关规定，经双方协商一致达成协议如下：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1"/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第一条</w:t>
      </w:r>
      <w:bookmarkEnd w:id="0"/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甲方设计人员上门测量尺寸前，乙方需付定金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元，此款可抵充货款。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2"/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第二条</w:t>
      </w:r>
      <w:bookmarkEnd w:id="1"/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甲方在测量尺寸后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天内提供设计图（如需出具效果图的，由双方协商）。乙方根据甲方出具的设计图纸完成厨房基础工程（即天花、墙地砖、水电气布置）后，通知甲方复测并修改图纸。经甲乙双方签字确认的图纸为最后的设计图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第三条</w:t>
      </w:r>
      <w:bookmarkStart w:id="2" w:name="3"/>
      <w:bookmarkEnd w:id="2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图纸确认后不得随意更改。如有一方需对已确定的设计图进行较大修改，必须征得另一方的同意并经双方签字确认，按实际情况增减费用，安装时间相应顺延。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第四条</w:t>
      </w:r>
      <w:bookmarkStart w:id="3" w:name="4"/>
      <w:bookmarkEnd w:id="3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付款方式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甲乙双方签字确认后，可选择下列第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种方式付款：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1、乙方于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日付清全部货款，计人民币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元，大写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元整，最后根据尺寸（见附件：材料结算清单）据实结算。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2、乙方与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日向甲方预付款的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%，计人民币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元，大写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元整。</w:t>
      </w:r>
    </w:p>
    <w:p>
      <w:pPr>
        <w:shd w:val="clear" w:color="auto" w:fill="FFFFFF"/>
        <w:wordWrap w:val="0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待甲方送货上门，乙方验收货物后，向甲方支付货款的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%，计人民币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元，大写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元整；最后安装完工后，乙方按照双方签字确认的设计图进行验收，验收合格后，即付清货款的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%余额，计人民币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元，大写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元整（根据尺寸据实结算＜见附件：材料结算清单＞）。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3、其他方式：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                        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第五条</w:t>
      </w:r>
      <w:bookmarkStart w:id="4" w:name="5"/>
      <w:bookmarkEnd w:id="4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交货期限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甲方应于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日前交货，甲方送货安装必须提前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日通知乙方。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第六条</w:t>
      </w:r>
      <w:bookmarkStart w:id="5" w:name="6"/>
      <w:bookmarkEnd w:id="5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送货、安装及质量保证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甲方承担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（地区）的运输费用、搬运费用，但乙方所属物业管理部门收费由乙方承担。甲方保证所提供的产品质量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年内包修，终生维护（收取材料费）。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第七条</w:t>
      </w:r>
      <w:bookmarkStart w:id="6" w:name="7"/>
      <w:bookmarkEnd w:id="6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双方责任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甲方责任：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1、乙方支付定金后，甲方没有在约定时间内提供设计图，甲方应向乙方双倍退还定金。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2、甲方应严格根据双方确定的设计图进行加工制造，如因甲方原因导致成品与合同约定不符的，责任由甲方承担。承担方式：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3、甲方延迟交货的，每延期一天，应按货款总值的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%向乙方支付逾期交货的违约金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乙方责任：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1、乙方应该自行规范完成厨房基础工程（即天花、墙地砖、水电气布置）。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2、如甲方提交设计图后，则不予退还定金。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3、乙方付款后，甲方即开始生产，如乙方提出退货要求，则所付款不退，作为原材料的损耗。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4、乙方逾期付款，每延期一天应按货款总额的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%承担违约金。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第八条</w:t>
      </w:r>
      <w:bookmarkStart w:id="7" w:name="8"/>
      <w:bookmarkEnd w:id="7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甲、乙双方如确因不可抗力的原因，不能履行或需延期履行本合同的，应及时通知对方，并说明不能履行或需延期履行的原因。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第九条</w:t>
      </w:r>
      <w:bookmarkStart w:id="8" w:name="9"/>
      <w:bookmarkEnd w:id="8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本合同在执行中如发生争议，甲、乙双方应协商解决，协商不成时，可按下列第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种方式解决（只能选择一种）：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1、提交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仲裁委员会仲裁；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2、依法向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人民法院起诉。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第十条</w:t>
      </w:r>
      <w:bookmarkStart w:id="9" w:name="10"/>
      <w:bookmarkEnd w:id="9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本合同在执行期间，如有未尽事宜，由双方协商，另订附则于本合同之内，所有附则在法律上均与本合同有同等效力。</w:t>
      </w:r>
    </w:p>
    <w:p>
      <w:pPr>
        <w:shd w:val="clear" w:color="auto" w:fill="FFFFFF"/>
        <w:spacing w:after="312" w:afterLines="100"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第十一条</w:t>
      </w:r>
      <w:bookmarkStart w:id="10" w:name="11"/>
      <w:bookmarkEnd w:id="10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本合同壹式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份，由甲、乙双方各执壹份，副本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份。</w:t>
      </w:r>
    </w:p>
    <w:p>
      <w:pPr>
        <w:shd w:val="clear" w:color="auto" w:fill="FFFFFF"/>
        <w:spacing w:after="312" w:afterLines="100"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（以下无正文，为合同签署页）</w:t>
      </w:r>
    </w:p>
    <w:tbl>
      <w:tblPr>
        <w:tblStyle w:val="14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甲方：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（盖章）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乙方：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（盖章）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负责人：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（签字）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联系人：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（签字）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签订地点：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签订时间：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</w:p>
        </w:tc>
      </w:tr>
    </w:tbl>
    <w:p>
      <w:pP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shd w:val="clear" w:color="auto" w:fill="FFFFFF"/>
        <w:spacing w:before="312" w:beforeLines="100"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附件：材料结算清单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627"/>
        <w:gridCol w:w="1802"/>
        <w:gridCol w:w="883"/>
        <w:gridCol w:w="883"/>
        <w:gridCol w:w="883"/>
        <w:gridCol w:w="883"/>
        <w:gridCol w:w="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橱柜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型号、材质</w:t>
            </w: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颜色</w:t>
            </w: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品牌</w:t>
            </w: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</w:t>
            </w: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上柜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下柜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台面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异型柜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侧板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灯板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顶板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眉线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包管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其他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</w:rPr>
      </w:pP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511"/>
        <w:gridCol w:w="24"/>
        <w:gridCol w:w="2070"/>
        <w:gridCol w:w="24"/>
        <w:gridCol w:w="818"/>
        <w:gridCol w:w="25"/>
        <w:gridCol w:w="823"/>
        <w:gridCol w:w="25"/>
        <w:gridCol w:w="753"/>
        <w:gridCol w:w="25"/>
        <w:gridCol w:w="888"/>
        <w:gridCol w:w="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配件</w:t>
            </w: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水槽</w:t>
            </w:r>
          </w:p>
        </w:tc>
        <w:tc>
          <w:tcPr>
            <w:tcW w:w="2094" w:type="dxa"/>
            <w:gridSpan w:val="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restar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拉篮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垃圾桶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米桶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转盘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拉手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铰链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调味架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轨道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35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其他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3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</w:t>
            </w:r>
          </w:p>
        </w:tc>
        <w:tc>
          <w:tcPr>
            <w:tcW w:w="7840" w:type="dxa"/>
            <w:gridSpan w:val="1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 xml:space="preserve">© 北大法宝：(www.pkulaw.com)专业提供法律信息、法学知识和法律软件领域各类解决方案。北大法宝为您提供丰富的参考资料，正式引用法规条文时请与标准文本核对。 </w:t>
      </w:r>
      <w:r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>欢迎查看所有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"http://www.pkulaw.com/help/"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8"/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>产品和服务</w:t>
      </w:r>
      <w:r>
        <w:rPr>
          <w:rStyle w:val="18"/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>。法宝快讯：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"http://www.pkulaw.com/Help/more-service-guide.html"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8"/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>如何快速找到您需要的检索结果？</w:t>
      </w:r>
      <w:r>
        <w:rPr>
          <w:rStyle w:val="18"/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"http://www.pkulaw.com/Help/special-function.html"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8"/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>法宝V6有何新特色？</w:t>
      </w:r>
      <w:r>
        <w:rPr>
          <w:rStyle w:val="18"/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2"/>
        <w:shd w:val="clear" w:color="auto" w:fill="F2FBFF"/>
        <w:spacing w:before="0" w:beforeAutospacing="0" w:after="0" w:afterAutospacing="0" w:line="360" w:lineRule="auto"/>
        <w:ind w:firstLine="480" w:firstLineChars="200"/>
        <w:jc w:val="both"/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>微信扫码 手机阅读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bookmarkEnd w:id="11"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汉仪楷体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15</w:t>
    </w:r>
    <w:r>
      <w:rPr>
        <w:rStyle w:val="17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52"/>
    <w:rsid w:val="00013607"/>
    <w:rsid w:val="00122E16"/>
    <w:rsid w:val="0022769C"/>
    <w:rsid w:val="002C7C75"/>
    <w:rsid w:val="00326730"/>
    <w:rsid w:val="004A6134"/>
    <w:rsid w:val="004C5B24"/>
    <w:rsid w:val="00562A42"/>
    <w:rsid w:val="005A4426"/>
    <w:rsid w:val="006451EA"/>
    <w:rsid w:val="00702D1A"/>
    <w:rsid w:val="00723F69"/>
    <w:rsid w:val="007A014A"/>
    <w:rsid w:val="00832986"/>
    <w:rsid w:val="008723C7"/>
    <w:rsid w:val="008C59E4"/>
    <w:rsid w:val="00960B1D"/>
    <w:rsid w:val="009921E5"/>
    <w:rsid w:val="009C4241"/>
    <w:rsid w:val="009D7807"/>
    <w:rsid w:val="00AD6B3E"/>
    <w:rsid w:val="00B7336C"/>
    <w:rsid w:val="00B778F1"/>
    <w:rsid w:val="00C22AC6"/>
    <w:rsid w:val="00C85FE8"/>
    <w:rsid w:val="00CE1FEC"/>
    <w:rsid w:val="00D10FB9"/>
    <w:rsid w:val="00D367CB"/>
    <w:rsid w:val="00DD700F"/>
    <w:rsid w:val="00E67252"/>
    <w:rsid w:val="00EA5CE7"/>
    <w:rsid w:val="00EB529E"/>
    <w:rsid w:val="00EC0054"/>
    <w:rsid w:val="00EC11D2"/>
    <w:rsid w:val="00FE3BBE"/>
    <w:rsid w:val="CEE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25"/>
    <w:unhideWhenUsed/>
    <w:qFormat/>
    <w:uiPriority w:val="0"/>
    <w:pPr>
      <w:keepNext/>
      <w:keepLines/>
      <w:spacing w:after="149" w:line="259" w:lineRule="auto"/>
      <w:ind w:right="2498"/>
      <w:jc w:val="right"/>
      <w:outlineLvl w:val="0"/>
    </w:pPr>
    <w:rPr>
      <w:rFonts w:ascii="微软雅黑" w:hAnsi="微软雅黑" w:eastAsia="微软雅黑" w:cs="微软雅黑"/>
      <w:color w:val="000000"/>
      <w:kern w:val="2"/>
      <w:sz w:val="36"/>
      <w:szCs w:val="22"/>
      <w:lang w:val="en-US" w:eastAsia="zh-CN" w:bidi="ar-SA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2"/>
    <w:uiPriority w:val="0"/>
    <w:pPr>
      <w:jc w:val="center"/>
    </w:pPr>
    <w:rPr>
      <w:rFonts w:ascii="Times New Roman" w:hAnsi="Times New Roman" w:eastAsia="宋体" w:cs="Times New Roman"/>
      <w:sz w:val="28"/>
      <w:szCs w:val="24"/>
    </w:rPr>
  </w:style>
  <w:style w:type="paragraph" w:styleId="6">
    <w:name w:val="Body Text Indent"/>
    <w:basedOn w:val="1"/>
    <w:link w:val="24"/>
    <w:uiPriority w:val="0"/>
    <w:pPr>
      <w:spacing w:beforeLines="50" w:line="360" w:lineRule="atLeast"/>
      <w:ind w:firstLine="480" w:firstLineChars="200"/>
    </w:pPr>
    <w:rPr>
      <w:rFonts w:hint="eastAsia" w:ascii="华文楷体" w:hAnsi="华文楷体" w:eastAsia="华文楷体" w:cs="Times New Roman"/>
      <w:sz w:val="24"/>
      <w:szCs w:val="24"/>
    </w:rPr>
  </w:style>
  <w:style w:type="paragraph" w:styleId="7">
    <w:name w:val="Plain Text"/>
    <w:basedOn w:val="1"/>
    <w:link w:val="23"/>
    <w:uiPriority w:val="0"/>
    <w:rPr>
      <w:rFonts w:ascii="宋体" w:hAnsi="Courier New" w:eastAsia="宋体" w:cs="Courier New"/>
      <w:szCs w:val="21"/>
    </w:rPr>
  </w:style>
  <w:style w:type="paragraph" w:styleId="8">
    <w:name w:val="Body Text Indent 2"/>
    <w:basedOn w:val="1"/>
    <w:link w:val="32"/>
    <w:uiPriority w:val="0"/>
    <w:pPr>
      <w:spacing w:line="360" w:lineRule="auto"/>
      <w:ind w:firstLine="210"/>
      <w:jc w:val="center"/>
    </w:pPr>
    <w:rPr>
      <w:rFonts w:ascii="宋体" w:hAnsi="Times New Roman" w:eastAsia="宋体" w:cs="Times New Roman"/>
      <w:b/>
      <w:color w:val="000000"/>
      <w:sz w:val="84"/>
      <w:szCs w:val="20"/>
    </w:rPr>
  </w:style>
  <w:style w:type="paragraph" w:styleId="9">
    <w:name w:val="footer"/>
    <w:basedOn w:val="1"/>
    <w:link w:val="2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11">
    <w:name w:val="Body Text Indent 3"/>
    <w:basedOn w:val="1"/>
    <w:link w:val="31"/>
    <w:uiPriority w:val="0"/>
    <w:pPr>
      <w:spacing w:after="120"/>
      <w:ind w:left="420" w:leftChars="200"/>
    </w:pPr>
    <w:rPr>
      <w:rFonts w:ascii="Times New Roman" w:hAnsi="Times New Roman" w:eastAsia="宋体" w:cs="Times New Roman"/>
      <w:sz w:val="16"/>
      <w:szCs w:val="16"/>
    </w:rPr>
  </w:style>
  <w:style w:type="paragraph" w:styleId="1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table" w:styleId="14">
    <w:name w:val="Table Grid"/>
    <w:basedOn w:val="13"/>
    <w:uiPriority w:val="0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Strong"/>
    <w:qFormat/>
    <w:uiPriority w:val="0"/>
    <w:rPr>
      <w:b/>
      <w:bCs/>
    </w:rPr>
  </w:style>
  <w:style w:type="character" w:styleId="17">
    <w:name w:val="page number"/>
    <w:basedOn w:val="15"/>
    <w:uiPriority w:val="0"/>
  </w:style>
  <w:style w:type="character" w:styleId="18">
    <w:name w:val="Hyperlink"/>
    <w:basedOn w:val="15"/>
    <w:semiHidden/>
    <w:unhideWhenUsed/>
    <w:uiPriority w:val="99"/>
    <w:rPr>
      <w:color w:val="333333"/>
      <w:u w:val="none"/>
    </w:rPr>
  </w:style>
  <w:style w:type="character" w:customStyle="1" w:styleId="19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5"/>
    <w:link w:val="4"/>
    <w:uiPriority w:val="9"/>
    <w:rPr>
      <w:b/>
      <w:bCs/>
      <w:sz w:val="32"/>
      <w:szCs w:val="32"/>
    </w:rPr>
  </w:style>
  <w:style w:type="character" w:customStyle="1" w:styleId="21">
    <w:name w:val="页脚 字符"/>
    <w:basedOn w:val="15"/>
    <w:link w:val="9"/>
    <w:uiPriority w:val="0"/>
    <w:rPr>
      <w:sz w:val="18"/>
      <w:szCs w:val="18"/>
    </w:rPr>
  </w:style>
  <w:style w:type="character" w:customStyle="1" w:styleId="22">
    <w:name w:val="正文文本 字符"/>
    <w:basedOn w:val="15"/>
    <w:link w:val="5"/>
    <w:semiHidden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23">
    <w:name w:val="纯文本 字符"/>
    <w:basedOn w:val="15"/>
    <w:link w:val="7"/>
    <w:semiHidden/>
    <w:uiPriority w:val="0"/>
    <w:rPr>
      <w:rFonts w:ascii="宋体" w:hAnsi="Courier New" w:eastAsia="宋体" w:cs="Courier New"/>
      <w:szCs w:val="21"/>
    </w:rPr>
  </w:style>
  <w:style w:type="character" w:customStyle="1" w:styleId="24">
    <w:name w:val="正文文本缩进 字符"/>
    <w:basedOn w:val="15"/>
    <w:link w:val="6"/>
    <w:uiPriority w:val="0"/>
    <w:rPr>
      <w:rFonts w:ascii="华文楷体" w:hAnsi="华文楷体" w:eastAsia="华文楷体" w:cs="Times New Roman"/>
      <w:sz w:val="24"/>
      <w:szCs w:val="24"/>
    </w:rPr>
  </w:style>
  <w:style w:type="character" w:customStyle="1" w:styleId="25">
    <w:name w:val="标题 1 字符"/>
    <w:basedOn w:val="15"/>
    <w:link w:val="2"/>
    <w:uiPriority w:val="9"/>
    <w:rPr>
      <w:rFonts w:ascii="微软雅黑" w:hAnsi="微软雅黑" w:eastAsia="微软雅黑" w:cs="微软雅黑"/>
      <w:color w:val="000000"/>
      <w:sz w:val="36"/>
    </w:rPr>
  </w:style>
  <w:style w:type="paragraph" w:styleId="26">
    <w:name w:val="List Paragraph"/>
    <w:basedOn w:val="1"/>
    <w:qFormat/>
    <w:uiPriority w:val="34"/>
    <w:pPr>
      <w:widowControl/>
      <w:spacing w:after="160" w:line="259" w:lineRule="auto"/>
      <w:ind w:firstLine="420" w:firstLineChars="200"/>
      <w:jc w:val="left"/>
    </w:pPr>
    <w:rPr>
      <w:rFonts w:ascii="Calibri" w:hAnsi="Calibri" w:eastAsia="Calibri" w:cs="Calibri"/>
      <w:color w:val="000000"/>
      <w:sz w:val="22"/>
    </w:rPr>
  </w:style>
  <w:style w:type="paragraph" w:customStyle="1" w:styleId="27">
    <w:name w:val="largefont style3"/>
    <w:basedOn w:val="1"/>
    <w:qFormat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customStyle="1" w:styleId="28">
    <w:name w:val="largefont"/>
    <w:basedOn w:val="1"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customStyle="1" w:styleId="29">
    <w:name w:val="largefont style1"/>
    <w:basedOn w:val="1"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30">
    <w:name w:val="页眉 字符"/>
    <w:basedOn w:val="15"/>
    <w:link w:val="10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正文文本缩进 3 字符"/>
    <w:basedOn w:val="15"/>
    <w:link w:val="11"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32">
    <w:name w:val="正文文本缩进 2 字符"/>
    <w:basedOn w:val="15"/>
    <w:link w:val="8"/>
    <w:uiPriority w:val="0"/>
    <w:rPr>
      <w:rFonts w:ascii="宋体" w:hAnsi="Times New Roman" w:eastAsia="宋体" w:cs="Times New Roman"/>
      <w:b/>
      <w:color w:val="000000"/>
      <w:sz w:val="84"/>
      <w:szCs w:val="20"/>
    </w:rPr>
  </w:style>
  <w:style w:type="character" w:customStyle="1" w:styleId="33">
    <w:name w:val="ask-title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360</Words>
  <Characters>2054</Characters>
  <Lines>17</Lines>
  <Paragraphs>4</Paragraphs>
  <TotalTime>0</TotalTime>
  <ScaleCrop>false</ScaleCrop>
  <LinksUpToDate>false</LinksUpToDate>
  <CharactersWithSpaces>2410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2019-03-22T18:44:00Z</dcterms:created>
  <dc:creator>雯 张</dc:creator>
  <cp:lastModifiedBy>雯 张</cp:lastModifiedBy>
  <dcterms:modified xsi:type="dcterms:W3CDTF">2020-05-27T15:31:09Z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